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81" w:rsidRPr="002179CD" w:rsidRDefault="004C7D54">
      <w:pPr>
        <w:rPr>
          <w:b/>
          <w:color w:val="FF0000"/>
          <w:sz w:val="32"/>
          <w:szCs w:val="32"/>
        </w:rPr>
      </w:pPr>
      <w:proofErr w:type="spellStart"/>
      <w:r>
        <w:rPr>
          <w:b/>
          <w:color w:val="FF0000"/>
          <w:sz w:val="32"/>
          <w:szCs w:val="32"/>
        </w:rPr>
        <w:t>e</w:t>
      </w:r>
      <w:r w:rsidR="00473073" w:rsidRPr="004C7D54">
        <w:rPr>
          <w:b/>
          <w:sz w:val="32"/>
          <w:szCs w:val="32"/>
        </w:rPr>
        <w:t>ikonocity</w:t>
      </w:r>
      <w:proofErr w:type="spellEnd"/>
    </w:p>
    <w:p w:rsidR="00473073" w:rsidRPr="00473073" w:rsidRDefault="000C4550" w:rsidP="00473073">
      <w:pPr>
        <w:pStyle w:val="Paragrafoelenco"/>
        <w:numPr>
          <w:ilvl w:val="0"/>
          <w:numId w:val="1"/>
        </w:numPr>
        <w:rPr>
          <w:b/>
        </w:rPr>
      </w:pPr>
      <w:r>
        <w:rPr>
          <w:b/>
        </w:rPr>
        <w:t xml:space="preserve">Titolo </w:t>
      </w:r>
    </w:p>
    <w:p w:rsidR="00473073" w:rsidRDefault="00473073" w:rsidP="00473073">
      <w:pPr>
        <w:ind w:left="360"/>
      </w:pPr>
      <w:r>
        <w:t>Il disegno delle città</w:t>
      </w:r>
    </w:p>
    <w:p w:rsidR="00473073" w:rsidRDefault="00F91D66" w:rsidP="00473073">
      <w:pPr>
        <w:ind w:left="360"/>
      </w:pPr>
      <w:proofErr w:type="spellStart"/>
      <w:r>
        <w:t>Redesigning</w:t>
      </w:r>
      <w:proofErr w:type="spellEnd"/>
      <w:r>
        <w:t xml:space="preserve"> the city</w:t>
      </w:r>
    </w:p>
    <w:p w:rsidR="007645BF" w:rsidRPr="00BD4CC0" w:rsidRDefault="00473073" w:rsidP="00BD4CC0">
      <w:pPr>
        <w:pStyle w:val="Paragrafoelenco"/>
        <w:numPr>
          <w:ilvl w:val="0"/>
          <w:numId w:val="1"/>
        </w:numPr>
        <w:rPr>
          <w:b/>
        </w:rPr>
      </w:pPr>
      <w:r w:rsidRPr="00473073">
        <w:rPr>
          <w:b/>
        </w:rPr>
        <w:t>Testo</w:t>
      </w:r>
      <w:bookmarkStart w:id="0" w:name="_GoBack"/>
      <w:bookmarkEnd w:id="0"/>
    </w:p>
    <w:p w:rsidR="00E91BA2" w:rsidRPr="00E91BA2" w:rsidRDefault="00E91BA2" w:rsidP="00E91BA2">
      <w:pPr>
        <w:ind w:left="426"/>
        <w:jc w:val="both"/>
        <w:rPr>
          <w:i/>
        </w:rPr>
      </w:pPr>
      <w:r w:rsidRPr="00E91BA2">
        <w:rPr>
          <w:i/>
        </w:rPr>
        <w:t>Introduzione</w:t>
      </w:r>
    </w:p>
    <w:p w:rsidR="00E91BA2" w:rsidRPr="00E91BA2" w:rsidRDefault="00E91BA2" w:rsidP="00E91BA2">
      <w:pPr>
        <w:ind w:left="426" w:firstLine="708"/>
        <w:jc w:val="both"/>
      </w:pPr>
      <w:r w:rsidRPr="00E91BA2">
        <w:t xml:space="preserve">La ricerca che presentiamo, condotta a partire dal 2016 all’interno del Laboratorio di Disegno del Dipartimento di Architettura dell’Università degli Studi “G. d’Annunzio” di Chieti - Pescara, è stata pubblicata da chi scrive nel volume </w:t>
      </w:r>
      <w:r w:rsidRPr="00E91BA2">
        <w:rPr>
          <w:i/>
        </w:rPr>
        <w:t>Metropoli, Il disegno delle città</w:t>
      </w:r>
      <w:r w:rsidRPr="00E91BA2">
        <w:t xml:space="preserve"> (Gangemi, Roma 2017). Il tema è il disegno delle città: di qui lo studio di una serie di casi selezionati dal CRESME, Centro ricerche economiche e sociali del mercato dell’edilizia, e, in particolare, analizzati seguendo le indicazioni fornite dal suo direttore, Lorenzo </w:t>
      </w:r>
      <w:proofErr w:type="spellStart"/>
      <w:r w:rsidRPr="00E91BA2">
        <w:t>Bellicini</w:t>
      </w:r>
      <w:proofErr w:type="spellEnd"/>
      <w:r w:rsidRPr="00E91BA2">
        <w:t xml:space="preserve">. Alla ricerca ha partecipato un esteso gruppo di lavoro, coordinato da Daniele </w:t>
      </w:r>
      <w:proofErr w:type="spellStart"/>
      <w:r w:rsidRPr="00E91BA2">
        <w:t>Calisi</w:t>
      </w:r>
      <w:proofErr w:type="spellEnd"/>
      <w:r w:rsidRPr="00E91BA2">
        <w:t>, che ha raccolto dati, documenti, progetti e immagini e, soprattutto, elaborato i grafici originali qui riprodotti. Protagonista della ricerca è il disegno, con la rappresentazione di dieci città europee: Amsterdam, Copenaghen, Berlino, Istanbul, Londra, Madrid, Milano, Parigi, Rotterdam e Torino. Disegno che è, in primo luogo, strumento di conoscenza e analisi delle realtà urbane esaminate ma, anche e soprattutto, strumento della progettualità che tali città sono in grado di esprimere, ciò che essenzialmente le proietta verso il futuro.</w:t>
      </w:r>
    </w:p>
    <w:p w:rsidR="00E91BA2" w:rsidRPr="00E91BA2" w:rsidRDefault="00E91BA2" w:rsidP="00E91BA2">
      <w:pPr>
        <w:ind w:left="426"/>
        <w:jc w:val="both"/>
        <w:rPr>
          <w:i/>
        </w:rPr>
      </w:pPr>
      <w:r w:rsidRPr="00E91BA2">
        <w:rPr>
          <w:i/>
        </w:rPr>
        <w:t>La rappresentazione delle città</w:t>
      </w:r>
    </w:p>
    <w:p w:rsidR="00E91BA2" w:rsidRPr="00E91BA2" w:rsidRDefault="00E91BA2" w:rsidP="00E91BA2">
      <w:pPr>
        <w:ind w:left="426" w:firstLine="708"/>
        <w:jc w:val="both"/>
      </w:pPr>
      <w:r w:rsidRPr="00E91BA2">
        <w:t xml:space="preserve">In questa ricerca le città vengono dunque rappresentate. Una rappresentazione che vale come ri-presentazione, descrizione grafica, ma anche come messa in scena, interpretazione, </w:t>
      </w:r>
      <w:proofErr w:type="spellStart"/>
      <w:r w:rsidRPr="00E91BA2">
        <w:t>ermeneusi</w:t>
      </w:r>
      <w:proofErr w:type="spellEnd"/>
      <w:r w:rsidRPr="00E91BA2">
        <w:t xml:space="preserve"> del palinsesto urbano e soprattutto come espressione, esibizione, proposizione e, nel senso del tedesco </w:t>
      </w:r>
      <w:proofErr w:type="spellStart"/>
      <w:r w:rsidRPr="00E91BA2">
        <w:rPr>
          <w:i/>
        </w:rPr>
        <w:t>vorstellen</w:t>
      </w:r>
      <w:proofErr w:type="spellEnd"/>
      <w:r w:rsidRPr="00E91BA2">
        <w:t xml:space="preserve">, quasi progettazione. Hans Georg </w:t>
      </w:r>
      <w:proofErr w:type="spellStart"/>
      <w:r w:rsidRPr="00E91BA2">
        <w:t>Gadamer</w:t>
      </w:r>
      <w:proofErr w:type="spellEnd"/>
      <w:r w:rsidRPr="00E91BA2">
        <w:t xml:space="preserve"> scrive in proposito: “La rappresentazione resta dunque legata in senso essenziale all’originale che si presenta in essa. Ma è di più di una semplice copia di quello. Che la rappresentazione sia un’immagine, e non l’originale stesso, non significa nulla di negativo, non è una diminuzione di essere, ma indica piuttosto una realtà autonoma. Il rapporto dell’immagine all’originale si presenta quindi in modo fondamentalmente diverso da quello che si verifica nel caso della copia. Che l’immagine abbia una sua realtà significa, per l’originale, che proprio nella rappresentazione esso si presenta. Nell’immagine, l’originale presenta sé stesso. (…) Ogni rappresentazione di questo tipo è un evento ontologico, e entra a costituire lo stato ontologico del rappresentato. Nella rappresentazione, questo subisce un aumento d’essere. Il contenuto proprio dell’immagine è definito ontologicamente come emanazione dell’originale.” (</w:t>
      </w:r>
      <w:proofErr w:type="spellStart"/>
      <w:r w:rsidRPr="00E91BA2">
        <w:t>Gadamer</w:t>
      </w:r>
      <w:proofErr w:type="spellEnd"/>
      <w:r w:rsidRPr="00E91BA2">
        <w:t xml:space="preserve"> 1983, p. 174-175) Il disegno è così, in primo luogo, strumento di conoscenza e analisi delle realtà urbane esaminate; ma è anche strumento della progettualità espressa da queste città, ciò che essenzialmente, le apre, le orienta e le proietta verso il futuro. </w:t>
      </w:r>
    </w:p>
    <w:p w:rsidR="00E91BA2" w:rsidRPr="00E91BA2" w:rsidRDefault="00E91BA2" w:rsidP="00E91BA2">
      <w:pPr>
        <w:ind w:left="426"/>
        <w:jc w:val="both"/>
        <w:rPr>
          <w:i/>
        </w:rPr>
      </w:pPr>
      <w:r w:rsidRPr="00E91BA2">
        <w:rPr>
          <w:i/>
        </w:rPr>
        <w:t>L’espansione delle città</w:t>
      </w:r>
    </w:p>
    <w:p w:rsidR="00E91BA2" w:rsidRPr="00E91BA2" w:rsidRDefault="00E91BA2" w:rsidP="00E91BA2">
      <w:pPr>
        <w:ind w:left="426" w:firstLine="708"/>
        <w:jc w:val="both"/>
        <w:rPr>
          <w:rFonts w:cstheme="minorHAnsi"/>
        </w:rPr>
      </w:pPr>
      <w:r w:rsidRPr="00E91BA2">
        <w:rPr>
          <w:rFonts w:cstheme="minorHAnsi"/>
        </w:rPr>
        <w:t xml:space="preserve">I primi due decenni del XXI secolo appaiono chiaramente segnati da alcuni aspetti significativi: l'espansione delle città e la grande quantità di edifici realizzati (che non ha precedenti storici, nemmeno nei periodi di ricostruzione post-bellica); il crescente ricorso a nuove tecnologie, nuove tecniche costruttive, nuovi materiali; la sempre più diffusa consapevolezza in tema di sostenibilità; l'ibridazione tipologica; la sensazione di crisi (economica, prima di tutto, ma anche culturale e di valori) e la speranza di uscirne. Ma è soprattutto la globalizzazione ad avere fortemente cambiato le regole del gioco, con il suo asservimento ai capitali internazionali e la sua progressiva evoluzione verso la </w:t>
      </w:r>
      <w:r w:rsidRPr="00E91BA2">
        <w:rPr>
          <w:rFonts w:cstheme="minorHAnsi"/>
        </w:rPr>
        <w:lastRenderedPageBreak/>
        <w:t>complessità, ma anche con la crescente attenzione a culture diverse e la progressiva perdita delle certezze di carattere critico e metodologico.</w:t>
      </w:r>
    </w:p>
    <w:p w:rsidR="00E91BA2" w:rsidRPr="00E91BA2" w:rsidRDefault="00E91BA2" w:rsidP="00E91BA2">
      <w:pPr>
        <w:ind w:left="426" w:firstLine="708"/>
        <w:jc w:val="both"/>
        <w:rPr>
          <w:rStyle w:val="ixmtestosenzarientro"/>
          <w:rFonts w:ascii="Calibri" w:hAnsi="Calibri" w:cs="Calibri"/>
        </w:rPr>
      </w:pPr>
      <w:r w:rsidRPr="00E91BA2">
        <w:rPr>
          <w:rStyle w:val="ixmtestosenzarientro"/>
          <w:rFonts w:ascii="Calibri" w:hAnsi="Calibri" w:cs="Calibri"/>
        </w:rPr>
        <w:t>L’idea di città racchiude, com’è noto, almeno due aspetti diversi: quello fisico - l’</w:t>
      </w:r>
      <w:proofErr w:type="spellStart"/>
      <w:r w:rsidRPr="00E91BA2">
        <w:rPr>
          <w:rStyle w:val="Enfasicorsivo"/>
          <w:rFonts w:ascii="Calibri" w:hAnsi="Calibri" w:cs="Calibri"/>
        </w:rPr>
        <w:t>urbs</w:t>
      </w:r>
      <w:proofErr w:type="spellEnd"/>
      <w:r w:rsidRPr="00E91BA2">
        <w:rPr>
          <w:rStyle w:val="ixmtestosenzarientro"/>
          <w:rFonts w:ascii="Calibri" w:hAnsi="Calibri" w:cs="Calibri"/>
        </w:rPr>
        <w:t xml:space="preserve">, fatta di edifici, infrastrutture ecc. - e quello sociale - la </w:t>
      </w:r>
      <w:proofErr w:type="spellStart"/>
      <w:r w:rsidRPr="00E91BA2">
        <w:rPr>
          <w:rStyle w:val="Enfasicorsivo"/>
          <w:rFonts w:ascii="Calibri" w:hAnsi="Calibri" w:cs="Calibri"/>
        </w:rPr>
        <w:t>civitas</w:t>
      </w:r>
      <w:proofErr w:type="spellEnd"/>
      <w:r w:rsidRPr="00E91BA2">
        <w:rPr>
          <w:rStyle w:val="ixmtestosenzarientro"/>
          <w:rFonts w:ascii="Calibri" w:hAnsi="Calibri" w:cs="Calibri"/>
        </w:rPr>
        <w:t>, formata dai cittadini che vi abitano. In tal senso, le città costituiscono anche la concreta sostanza dei programmi politici con cui sono amministrate, rispecchiando le società di cui fanno parte e le relative forme di governo. Il loro successo testimonia il successo di tali società come di tali forme di governo e viceversa. Le città sono anche i luoghi della contiguità fisica e delle alte densità; della libertà e mobilità sociale; dell’ideazione, dell’innovazione e della maggiore produttività, dove conflitti fra culture, religioni e visioni del mondo diverse sembrano concentrarsi, confrontarsi, talvolta scontrarsi. Le città sono fatte di architetture, anche se l’architettura delle città non può che prendere atto della sua impotenza di fronte alla complessità dei fenomeni urbani, sdoppiandosi in ruoli diversi: la produzione di edifici come risposta a necessità pratiche da una parte; la ricerca di idee e qualità estetica dall’altra.</w:t>
      </w:r>
    </w:p>
    <w:p w:rsidR="00E91BA2" w:rsidRPr="00E91BA2" w:rsidRDefault="00E91BA2" w:rsidP="00E91BA2">
      <w:pPr>
        <w:ind w:left="426" w:firstLine="708"/>
        <w:jc w:val="both"/>
      </w:pPr>
      <w:r w:rsidRPr="00E91BA2">
        <w:rPr>
          <w:rFonts w:ascii="Calibri" w:hAnsi="Calibri" w:cs="Calibri"/>
        </w:rPr>
        <w:t>L'espansione della città e le sfide che essa ci pone coincidono, in larga misura, con i problemi dell'uomo e del pianeta in generale: residenza, lavoro, vita sociale e spazio pubblico, globalizzazione, mobilità e flussi migratori, segregazione sociale, sostenibilità. Si tratta di questioni note e dibattute; meno chiare invece le possibili risposte che pure siamo chiamati a dare. Come in molti altri ambiti, il dibattito critico sulla città e sul suo futuro appare diviso fra chi prevede situazioni terrificanti e chi adotta invece toni fiduciosi. Ma a nessuno, nemmeno a chi opta per una più saggia posizione intermedia, può sfuggire come la condizione contemporanea sembri preludere alla fine della stessa nozione storica di città. Da una parte quest'ultima sembra inadeguata alle nuove forme; dall'altra, la nozione di “progresso” legata all’idea di espansione della città, un tempo positiva, assume oggi connotazioni spesso negative. Renzo Piano osserva, in proposito, che «il nostro secolo ha fatto degenerare la città: questa grande invenzione dell'uomo. Ne ha inquinati i valori positivi, ha alterato la miscela delle funzioni che ne è alla base; la stessa socialità che ne è il carattere distintivo e poi, anche, la qualità architettonica. La qualità del costruito, eredità di un tempo che fu e che oggi sopravvive a stento, soffocata e snaturata nei nostri centri urbani». Parlando dei “nostri” centri urbani, della città occidentale in generale e di quella europea in particolare, Piano suggerisce una soluzione: «invece che continuare a farle esplodere, dovremmo completare il tessuto della città. E questa è già un'idea più interessante e accettabile del concetto di una 'crescita' senza fine: l'idea della crescita 'sostenibile', attraverso la quale le periferie possono trasformarsi in città. È questa la nostra vera, grande scommessa per i prossimi cinquant'anni» (Piano 2007, pp. 37-38).</w:t>
      </w:r>
    </w:p>
    <w:p w:rsidR="00E91BA2" w:rsidRPr="00E91BA2" w:rsidRDefault="00E91BA2" w:rsidP="00E91BA2">
      <w:pPr>
        <w:ind w:left="426" w:firstLine="708"/>
        <w:jc w:val="both"/>
        <w:rPr>
          <w:rFonts w:ascii="Calibri" w:hAnsi="Calibri" w:cs="Calibri"/>
        </w:rPr>
      </w:pPr>
      <w:r w:rsidRPr="00E91BA2">
        <w:rPr>
          <w:rFonts w:ascii="Calibri" w:hAnsi="Calibri" w:cs="Calibri"/>
        </w:rPr>
        <w:t>In un mondo in cui il 90% della ricchezza è nelle mani dell'1% dei suoi abitanti, il problema dell'espansione delle aree urbanizzate non è separabile da quello della distribuzione del benessere economico. Tale disuguaglianza, com'è noto, è all'origine dei fenomeni migratori dalle parti povere del mondo verso que</w:t>
      </w:r>
      <w:r>
        <w:rPr>
          <w:rFonts w:ascii="Calibri" w:hAnsi="Calibri" w:cs="Calibri"/>
        </w:rPr>
        <w:t>lle ricche: «l</w:t>
      </w:r>
      <w:r w:rsidRPr="00E91BA2">
        <w:rPr>
          <w:rFonts w:ascii="Calibri" w:hAnsi="Calibri" w:cs="Calibri"/>
        </w:rPr>
        <w:t xml:space="preserve">'unica industria che prospera nelle terre dei nuovi arrivati (equivocamente e spesso ingannevolmente soprannominate “paesi in via di sviluppo”) è la </w:t>
      </w:r>
      <w:r w:rsidRPr="00E91BA2">
        <w:rPr>
          <w:rFonts w:ascii="Calibri" w:hAnsi="Calibri" w:cs="Calibri"/>
          <w:i/>
        </w:rPr>
        <w:t>produzione in serie di profughi</w:t>
      </w:r>
      <w:r w:rsidRPr="00E91BA2">
        <w:rPr>
          <w:rFonts w:ascii="Calibri" w:hAnsi="Calibri" w:cs="Calibri"/>
        </w:rPr>
        <w:t>» (</w:t>
      </w:r>
      <w:proofErr w:type="spellStart"/>
      <w:r w:rsidRPr="00E91BA2">
        <w:rPr>
          <w:rFonts w:ascii="Calibri" w:hAnsi="Calibri" w:cs="Calibri"/>
        </w:rPr>
        <w:t>Bauman</w:t>
      </w:r>
      <w:proofErr w:type="spellEnd"/>
      <w:r w:rsidRPr="00E91BA2">
        <w:rPr>
          <w:rFonts w:ascii="Calibri" w:hAnsi="Calibri" w:cs="Calibri"/>
        </w:rPr>
        <w:t xml:space="preserve"> 2007, p. 36). La separazione fra gli immigrati e gli abitanti dei campi profughi da una parte e i cittadini, i “radicati”, come sono stati definiti da </w:t>
      </w:r>
      <w:proofErr w:type="spellStart"/>
      <w:r w:rsidRPr="00E91BA2">
        <w:rPr>
          <w:rFonts w:ascii="Calibri" w:hAnsi="Calibri" w:cs="Calibri"/>
        </w:rPr>
        <w:t>Norbert</w:t>
      </w:r>
      <w:proofErr w:type="spellEnd"/>
      <w:r w:rsidRPr="00E91BA2">
        <w:rPr>
          <w:rFonts w:ascii="Calibri" w:hAnsi="Calibri" w:cs="Calibri"/>
        </w:rPr>
        <w:t xml:space="preserve"> Elias, dall'altra, è sempre più forte: nell'età della mobilità globale, il termine “straniero” è paradossalmente sempre più vicino al suo significato etimologico e arcaico: estraneo, strano, insolito, con una connotazione ostile. Spesso ancora oggi «Il profugo, come scrisse Bertolt Brecht nella poesia </w:t>
      </w:r>
      <w:proofErr w:type="spellStart"/>
      <w:r w:rsidRPr="00E91BA2">
        <w:rPr>
          <w:rFonts w:ascii="Calibri" w:hAnsi="Calibri" w:cs="Calibri"/>
          <w:i/>
        </w:rPr>
        <w:t>Die</w:t>
      </w:r>
      <w:proofErr w:type="spellEnd"/>
      <w:r w:rsidRPr="00E91BA2">
        <w:rPr>
          <w:rFonts w:ascii="Calibri" w:hAnsi="Calibri" w:cs="Calibri"/>
          <w:i/>
        </w:rPr>
        <w:t xml:space="preserve"> </w:t>
      </w:r>
      <w:proofErr w:type="spellStart"/>
      <w:r w:rsidRPr="00E91BA2">
        <w:rPr>
          <w:rFonts w:ascii="Calibri" w:hAnsi="Calibri" w:cs="Calibri"/>
          <w:i/>
        </w:rPr>
        <w:t>Landschaft</w:t>
      </w:r>
      <w:proofErr w:type="spellEnd"/>
      <w:r w:rsidRPr="00E91BA2">
        <w:rPr>
          <w:rFonts w:ascii="Calibri" w:hAnsi="Calibri" w:cs="Calibri"/>
          <w:i/>
        </w:rPr>
        <w:t xml:space="preserve"> </w:t>
      </w:r>
      <w:proofErr w:type="spellStart"/>
      <w:r w:rsidRPr="00E91BA2">
        <w:rPr>
          <w:rFonts w:ascii="Calibri" w:hAnsi="Calibri" w:cs="Calibri"/>
          <w:i/>
        </w:rPr>
        <w:t>des</w:t>
      </w:r>
      <w:proofErr w:type="spellEnd"/>
      <w:r w:rsidRPr="00E91BA2">
        <w:rPr>
          <w:rFonts w:ascii="Calibri" w:hAnsi="Calibri" w:cs="Calibri"/>
          <w:i/>
        </w:rPr>
        <w:t xml:space="preserve"> </w:t>
      </w:r>
      <w:proofErr w:type="spellStart"/>
      <w:r w:rsidRPr="00E91BA2">
        <w:rPr>
          <w:rFonts w:ascii="Calibri" w:hAnsi="Calibri" w:cs="Calibri"/>
          <w:i/>
        </w:rPr>
        <w:t>Exils</w:t>
      </w:r>
      <w:proofErr w:type="spellEnd"/>
      <w:r w:rsidRPr="00E91BA2">
        <w:rPr>
          <w:rFonts w:ascii="Calibri" w:hAnsi="Calibri" w:cs="Calibri"/>
        </w:rPr>
        <w:t>, è “</w:t>
      </w:r>
      <w:proofErr w:type="spellStart"/>
      <w:r w:rsidRPr="00E91BA2">
        <w:rPr>
          <w:rFonts w:ascii="Calibri" w:hAnsi="Calibri" w:cs="Calibri"/>
        </w:rPr>
        <w:t>ein</w:t>
      </w:r>
      <w:proofErr w:type="spellEnd"/>
      <w:r w:rsidRPr="00E91BA2">
        <w:rPr>
          <w:rFonts w:ascii="Calibri" w:hAnsi="Calibri" w:cs="Calibri"/>
        </w:rPr>
        <w:t xml:space="preserve"> </w:t>
      </w:r>
      <w:proofErr w:type="spellStart"/>
      <w:r w:rsidRPr="00E91BA2">
        <w:rPr>
          <w:rFonts w:ascii="Calibri" w:hAnsi="Calibri" w:cs="Calibri"/>
        </w:rPr>
        <w:t>Bote</w:t>
      </w:r>
      <w:proofErr w:type="spellEnd"/>
      <w:r w:rsidRPr="00E91BA2">
        <w:rPr>
          <w:rFonts w:ascii="Calibri" w:hAnsi="Calibri" w:cs="Calibri"/>
        </w:rPr>
        <w:t xml:space="preserve"> </w:t>
      </w:r>
      <w:proofErr w:type="spellStart"/>
      <w:r w:rsidRPr="00E91BA2">
        <w:rPr>
          <w:rFonts w:ascii="Calibri" w:hAnsi="Calibri" w:cs="Calibri"/>
        </w:rPr>
        <w:t>des</w:t>
      </w:r>
      <w:proofErr w:type="spellEnd"/>
      <w:r w:rsidRPr="00E91BA2">
        <w:rPr>
          <w:rFonts w:ascii="Calibri" w:hAnsi="Calibri" w:cs="Calibri"/>
        </w:rPr>
        <w:t xml:space="preserve"> </w:t>
      </w:r>
      <w:proofErr w:type="spellStart"/>
      <w:r w:rsidRPr="00E91BA2">
        <w:rPr>
          <w:rFonts w:ascii="Calibri" w:hAnsi="Calibri" w:cs="Calibri"/>
        </w:rPr>
        <w:t>Unglücks</w:t>
      </w:r>
      <w:proofErr w:type="spellEnd"/>
      <w:r w:rsidRPr="00E91BA2">
        <w:rPr>
          <w:rFonts w:ascii="Calibri" w:hAnsi="Calibri" w:cs="Calibri"/>
        </w:rPr>
        <w:t xml:space="preserve">”, un messaggero di sventura» (ivi, p. 54). </w:t>
      </w:r>
    </w:p>
    <w:p w:rsidR="00E91BA2" w:rsidRPr="00E91BA2" w:rsidRDefault="00E91BA2" w:rsidP="00E91BA2">
      <w:pPr>
        <w:ind w:left="426" w:firstLine="708"/>
        <w:jc w:val="both"/>
        <w:rPr>
          <w:rFonts w:ascii="Calibri" w:hAnsi="Calibri" w:cs="Calibri"/>
        </w:rPr>
      </w:pPr>
      <w:r w:rsidRPr="00E91BA2">
        <w:rPr>
          <w:rFonts w:ascii="Calibri" w:hAnsi="Calibri" w:cs="Calibri"/>
        </w:rPr>
        <w:t xml:space="preserve">Il consenso è generale sulla necessità di limitare l'utilizzo delle aree verdi, cioè la progressiva crescita delle aree edificate ai danni di quelle agricole: pressoché tutti i fautori della </w:t>
      </w:r>
      <w:proofErr w:type="spellStart"/>
      <w:r w:rsidRPr="00E91BA2">
        <w:rPr>
          <w:rFonts w:ascii="Calibri" w:hAnsi="Calibri" w:cs="Calibri"/>
        </w:rPr>
        <w:t>densificazione</w:t>
      </w:r>
      <w:proofErr w:type="spellEnd"/>
      <w:r w:rsidRPr="00E91BA2">
        <w:rPr>
          <w:rFonts w:ascii="Calibri" w:hAnsi="Calibri" w:cs="Calibri"/>
        </w:rPr>
        <w:t xml:space="preserve">, pur sostenendo la necessità di immettere sul mercato immobiliare delle zone centrali e semi-centrali quote consistenti di alloggi a basso costo, considerano tuttavia accettabili solo gli interventi sui </w:t>
      </w:r>
      <w:r w:rsidRPr="00E91BA2">
        <w:rPr>
          <w:rFonts w:ascii="Calibri" w:hAnsi="Calibri" w:cs="Calibri"/>
        </w:rPr>
        <w:lastRenderedPageBreak/>
        <w:t xml:space="preserve">cosiddetti </w:t>
      </w:r>
      <w:proofErr w:type="spellStart"/>
      <w:r w:rsidRPr="00E91BA2">
        <w:rPr>
          <w:rFonts w:ascii="Calibri" w:hAnsi="Calibri" w:cs="Calibri"/>
          <w:i/>
        </w:rPr>
        <w:t>brownfields</w:t>
      </w:r>
      <w:proofErr w:type="spellEnd"/>
      <w:r w:rsidRPr="00E91BA2">
        <w:rPr>
          <w:rFonts w:ascii="Calibri" w:hAnsi="Calibri" w:cs="Calibri"/>
          <w:i/>
        </w:rPr>
        <w:t>,</w:t>
      </w:r>
      <w:r w:rsidRPr="00E91BA2">
        <w:rPr>
          <w:rFonts w:ascii="Calibri" w:hAnsi="Calibri" w:cs="Calibri"/>
        </w:rPr>
        <w:t xml:space="preserve"> le aree dismesse nel passaggio dall'era industriale a quella post-industriale, e non sui </w:t>
      </w:r>
      <w:proofErr w:type="spellStart"/>
      <w:r w:rsidRPr="00E91BA2">
        <w:rPr>
          <w:rFonts w:ascii="Calibri" w:hAnsi="Calibri" w:cs="Calibri"/>
          <w:i/>
        </w:rPr>
        <w:t>greenfields</w:t>
      </w:r>
      <w:proofErr w:type="spellEnd"/>
      <w:r w:rsidRPr="00E91BA2">
        <w:rPr>
          <w:rFonts w:ascii="Calibri" w:hAnsi="Calibri" w:cs="Calibri"/>
        </w:rPr>
        <w:t xml:space="preserve">, aree verdi comunque da preservare. L'espansione dell'edificato ai danni della campagna è un esito che, soprattutto nelle regioni segnate da densità particolarmente alte, non può non preoccupare, aggravato com'è dai costi necessari per dotare tali insediamenti suburbani di servizi e infrastrutture. Ma è anche provato che il consumo del suolo è imputabile all’edificato in misura molto inferiore a quanto comunemente si pensa.  La necessità di andare verso insediamenti sostenibili e </w:t>
      </w:r>
      <w:proofErr w:type="spellStart"/>
      <w:r w:rsidRPr="00E91BA2">
        <w:rPr>
          <w:rFonts w:ascii="Calibri" w:hAnsi="Calibri" w:cs="Calibri"/>
        </w:rPr>
        <w:t>smart</w:t>
      </w:r>
      <w:proofErr w:type="spellEnd"/>
      <w:r w:rsidRPr="00E91BA2">
        <w:rPr>
          <w:rFonts w:ascii="Calibri" w:hAnsi="Calibri" w:cs="Calibri"/>
        </w:rPr>
        <w:t xml:space="preserve"> non è più procrastinabile. La città è il campo di battaglia in cui si stanno giocando le sorti del futuro dell'umanità. La sostenibilità urbana è un concetto concretamente valido rispetto ad alcuni parametri fondamentali quali la produzione di più energia di quanta se ne consumi, la raccolta e il trattamento dei rifiuti all'interno dei propri confini, la raccolta e il riciclaggio delle acque ecc.  Naturalmente tali obiettivi devono coesistere con quelli, più tradizionali, di creare benessere economico e sociale e favorire la crescita culturale e tecnologica. Si tratta dunque di una grande sfida: senza una profonda rivoluzione di pensiero, sarà difficile modificare lo stato delle cose. </w:t>
      </w:r>
    </w:p>
    <w:p w:rsidR="00E91BA2" w:rsidRPr="00E91BA2" w:rsidRDefault="00E91BA2" w:rsidP="00E91BA2">
      <w:pPr>
        <w:ind w:left="426"/>
        <w:jc w:val="both"/>
        <w:rPr>
          <w:rFonts w:ascii="Calibri" w:hAnsi="Calibri" w:cs="Calibri"/>
          <w:i/>
        </w:rPr>
      </w:pPr>
      <w:r w:rsidRPr="00E91BA2">
        <w:rPr>
          <w:rFonts w:ascii="Calibri" w:hAnsi="Calibri" w:cs="Calibri"/>
          <w:i/>
        </w:rPr>
        <w:t>I casi studio in Europa</w:t>
      </w:r>
    </w:p>
    <w:p w:rsidR="00E91BA2" w:rsidRPr="00E91BA2" w:rsidRDefault="00E91BA2" w:rsidP="00E91BA2">
      <w:pPr>
        <w:ind w:left="426" w:firstLine="708"/>
        <w:jc w:val="both"/>
      </w:pPr>
      <w:r w:rsidRPr="00E91BA2">
        <w:t xml:space="preserve">La progettualità espressa dalle dieci città europee studiate è straordinaria. Si pensi, per esempio, a Port of Amsterdam - Vision 2030, un progetto messo a punto all’insegna della flessibilità e dell’adattabilità ai cambiamenti, coinvolgendo attivamente tutti i diversi </w:t>
      </w:r>
      <w:proofErr w:type="spellStart"/>
      <w:r w:rsidRPr="00E91BA2">
        <w:rPr>
          <w:i/>
        </w:rPr>
        <w:t>stakeholders</w:t>
      </w:r>
      <w:proofErr w:type="spellEnd"/>
      <w:r w:rsidRPr="00E91BA2">
        <w:t xml:space="preserve">. L’area portuale della capitale olandese - il cosiddetto Amsterdam </w:t>
      </w:r>
      <w:proofErr w:type="spellStart"/>
      <w:r w:rsidRPr="00E91BA2">
        <w:t>Metropolitan</w:t>
      </w:r>
      <w:proofErr w:type="spellEnd"/>
      <w:r w:rsidRPr="00E91BA2">
        <w:t xml:space="preserve"> </w:t>
      </w:r>
      <w:proofErr w:type="spellStart"/>
      <w:r w:rsidRPr="00E91BA2">
        <w:t>Port</w:t>
      </w:r>
      <w:proofErr w:type="spellEnd"/>
      <w:r w:rsidRPr="00E91BA2">
        <w:t xml:space="preserve"> - è vista come un vasto un ecosistema posto all’intersezione fra il mare del Nord e il Reno e declinato in sei settori strategici: energia; cibo; agricoltura, minerali e riciclo; cargo e logistica, crociere; servizi marittimi e immobiliare. Il potenziamento delle infrastrutture ferroviarie e il coordinamento con le aree portuali della North Sea Canal Area (al cui insieme ci si riferisce con l’acronimo ARA: Anversa - Rotterdam - Amsterdam) da una parte e con i molti porti del delta dei fiumi Reno e </w:t>
      </w:r>
      <w:proofErr w:type="spellStart"/>
      <w:r w:rsidRPr="00E91BA2">
        <w:t>Schelda</w:t>
      </w:r>
      <w:proofErr w:type="spellEnd"/>
      <w:r w:rsidRPr="00E91BA2">
        <w:t xml:space="preserve"> dall’altra, renderà l’intero sistema sempre più efficiente, sicuro, competitivo e soprattutto integrato al suo territorio. La cosiddetta </w:t>
      </w:r>
      <w:proofErr w:type="spellStart"/>
      <w:r w:rsidRPr="00E91BA2">
        <w:t>Structural</w:t>
      </w:r>
      <w:proofErr w:type="spellEnd"/>
      <w:r w:rsidRPr="00E91BA2">
        <w:t xml:space="preserve"> Vision Amsterdam 2040, redatta nel 2011 e continuamente aggiornata, prevede, fra l’altro, un generale processo di </w:t>
      </w:r>
      <w:proofErr w:type="spellStart"/>
      <w:r w:rsidRPr="00E91BA2">
        <w:t>densificazione</w:t>
      </w:r>
      <w:proofErr w:type="spellEnd"/>
      <w:r w:rsidRPr="00E91BA2">
        <w:t xml:space="preserve"> dell’edificato; il rilancio del centro storico; un uso mirato degli spazi verdi e dell’acqua a fini sportivi e ricreativi; 70.000 nuove abitazioni e servizi da realizzare entro il 2040; l’</w:t>
      </w:r>
      <w:proofErr w:type="spellStart"/>
      <w:r w:rsidRPr="00E91BA2">
        <w:t>efficientamento</w:t>
      </w:r>
      <w:proofErr w:type="spellEnd"/>
      <w:r w:rsidRPr="00E91BA2">
        <w:t xml:space="preserve"> energetico del patrimonio residenziale esistente; la complessiva riqualificazione dello spazio pubblico. Assieme a Rotterdam, l’</w:t>
      </w:r>
      <w:proofErr w:type="spellStart"/>
      <w:r w:rsidRPr="00E91BA2">
        <w:t>Aja</w:t>
      </w:r>
      <w:proofErr w:type="spellEnd"/>
      <w:r w:rsidRPr="00E91BA2">
        <w:t xml:space="preserve">, </w:t>
      </w:r>
      <w:proofErr w:type="spellStart"/>
      <w:r w:rsidRPr="00E91BA2">
        <w:t>Delft</w:t>
      </w:r>
      <w:proofErr w:type="spellEnd"/>
      <w:r w:rsidRPr="00E91BA2">
        <w:t xml:space="preserve">, </w:t>
      </w:r>
      <w:proofErr w:type="spellStart"/>
      <w:r w:rsidRPr="00E91BA2">
        <w:t>Dordrecht</w:t>
      </w:r>
      <w:proofErr w:type="spellEnd"/>
      <w:r w:rsidRPr="00E91BA2">
        <w:t xml:space="preserve">, Haarlem, </w:t>
      </w:r>
      <w:proofErr w:type="spellStart"/>
      <w:r w:rsidRPr="00E91BA2">
        <w:t>Hilversum</w:t>
      </w:r>
      <w:proofErr w:type="spellEnd"/>
      <w:r w:rsidRPr="00E91BA2">
        <w:t xml:space="preserve">, </w:t>
      </w:r>
      <w:proofErr w:type="spellStart"/>
      <w:r w:rsidRPr="00E91BA2">
        <w:t>Leida</w:t>
      </w:r>
      <w:proofErr w:type="spellEnd"/>
      <w:r w:rsidRPr="00E91BA2">
        <w:t xml:space="preserve">, Utrecht e altri centri minori, Amsterdam forma la cosiddetta </w:t>
      </w:r>
      <w:proofErr w:type="spellStart"/>
      <w:r w:rsidRPr="00E91BA2">
        <w:t>Randstad</w:t>
      </w:r>
      <w:proofErr w:type="spellEnd"/>
      <w:r w:rsidRPr="00E91BA2">
        <w:t xml:space="preserve"> </w:t>
      </w:r>
      <w:proofErr w:type="spellStart"/>
      <w:r w:rsidRPr="00E91BA2">
        <w:t>Holland</w:t>
      </w:r>
      <w:proofErr w:type="spellEnd"/>
      <w:r w:rsidRPr="00E91BA2">
        <w:t xml:space="preserve">, straordinaria regione storica urbanizzata ad anello, organizzata su di una struttura policentrica che circonda un’estesa area verde agricola dove sorge, fra l’altro, l’aeroporto di </w:t>
      </w:r>
      <w:proofErr w:type="spellStart"/>
      <w:r w:rsidRPr="00E91BA2">
        <w:t>Schiphol</w:t>
      </w:r>
      <w:proofErr w:type="spellEnd"/>
      <w:r w:rsidRPr="00E91BA2">
        <w:t xml:space="preserve">: caratterizzata da una densità abitativa fra le più alte del mondo, sfiora, nel suo insieme, gli 8 milioni di abitanti. Rotterdam, in particolare, è considerata una combinazione fra uno </w:t>
      </w:r>
      <w:proofErr w:type="spellStart"/>
      <w:r w:rsidRPr="00E91BA2">
        <w:rPr>
          <w:i/>
        </w:rPr>
        <w:t>hub</w:t>
      </w:r>
      <w:proofErr w:type="spellEnd"/>
      <w:r w:rsidRPr="00E91BA2">
        <w:t xml:space="preserve"> globale per container, carburanti ed energia e un </w:t>
      </w:r>
      <w:r w:rsidRPr="00E91BA2">
        <w:rPr>
          <w:i/>
        </w:rPr>
        <w:t>cluster</w:t>
      </w:r>
      <w:r w:rsidRPr="00E91BA2">
        <w:t xml:space="preserve"> industriale, anche grazie alle reti infrastrutturali che la collegano alla sua provincia e ad Anversa in Belgio. Il porto, il cosiddetto </w:t>
      </w:r>
      <w:proofErr w:type="spellStart"/>
      <w:r w:rsidRPr="00E91BA2">
        <w:t>Europoort</w:t>
      </w:r>
      <w:proofErr w:type="spellEnd"/>
      <w:r w:rsidRPr="00E91BA2">
        <w:t xml:space="preserve">, è costituito da un gigantesco sistema lineare di corsi d’acqua diversi che dal mare del Nord penetrano all’interno del territorio olandese: è considerato il più grande d’Europa e fra i primi quattro del mondo. </w:t>
      </w:r>
      <w:r w:rsidRPr="00E91BA2">
        <w:rPr>
          <w:rFonts w:cstheme="minorHAnsi"/>
        </w:rPr>
        <w:t>È</w:t>
      </w:r>
      <w:r w:rsidRPr="00E91BA2">
        <w:t xml:space="preserve"> stato oggetto di recente del progetto Port Vision 2030, che ne delinea il futuro in stretto collegamento con quello di Anversa, simmetricamente posta nella parte meridionale dell’articolato sistema del cosiddetto delta apparente del Reno. Il multiculturalismo è parte integrante della sua condizione contemporanea. Circa un terzo degli abitanti di Rotterdam è nato all’estero, tra i minorenni tale percentuale raggiunge i due terzi, con un’altissima prevalenza islamica. Ma, non diversamente da Amsterdam, è soprattutto il rapporto con l’acqua a caratterizzare molti progetti strategici contemporanei: piazze d’acqua, quartieri e parchi galleggianti, canali di collegamento. Grande sviluppo hanno anche avuto i tetti verdi: le superfici attualmente raggiunte superano i 150.000 mq. </w:t>
      </w:r>
    </w:p>
    <w:p w:rsidR="00E91BA2" w:rsidRPr="00E91BA2" w:rsidRDefault="00E91BA2" w:rsidP="00E91BA2">
      <w:pPr>
        <w:ind w:left="426" w:firstLine="708"/>
        <w:jc w:val="both"/>
      </w:pPr>
      <w:r w:rsidRPr="00E91BA2">
        <w:lastRenderedPageBreak/>
        <w:t>Berlino si è anch’essa dotata di una serie di piani strategici che guardano lontano: nel 2013 è uscito l’</w:t>
      </w:r>
      <w:proofErr w:type="spellStart"/>
      <w:r w:rsidRPr="00E91BA2">
        <w:t>Urban</w:t>
      </w:r>
      <w:proofErr w:type="spellEnd"/>
      <w:r w:rsidRPr="00E91BA2">
        <w:t xml:space="preserve"> </w:t>
      </w:r>
      <w:proofErr w:type="spellStart"/>
      <w:r w:rsidRPr="00E91BA2">
        <w:t>Development</w:t>
      </w:r>
      <w:proofErr w:type="spellEnd"/>
      <w:r w:rsidRPr="00E91BA2">
        <w:t xml:space="preserve"> </w:t>
      </w:r>
      <w:proofErr w:type="spellStart"/>
      <w:r w:rsidRPr="00E91BA2">
        <w:t>Concept</w:t>
      </w:r>
      <w:proofErr w:type="spellEnd"/>
      <w:r w:rsidRPr="00E91BA2">
        <w:t xml:space="preserve"> 2030; del 2014 sono piani decennali quali l’</w:t>
      </w:r>
      <w:proofErr w:type="spellStart"/>
      <w:r w:rsidRPr="00E91BA2">
        <w:t>Urban</w:t>
      </w:r>
      <w:proofErr w:type="spellEnd"/>
      <w:r w:rsidRPr="00E91BA2">
        <w:t xml:space="preserve"> </w:t>
      </w:r>
      <w:proofErr w:type="spellStart"/>
      <w:r w:rsidRPr="00E91BA2">
        <w:t>Transportation</w:t>
      </w:r>
      <w:proofErr w:type="spellEnd"/>
      <w:r w:rsidRPr="00E91BA2">
        <w:t xml:space="preserve"> </w:t>
      </w:r>
      <w:proofErr w:type="spellStart"/>
      <w:r w:rsidRPr="00E91BA2">
        <w:t>Development</w:t>
      </w:r>
      <w:proofErr w:type="spellEnd"/>
      <w:r w:rsidRPr="00E91BA2">
        <w:t xml:space="preserve"> </w:t>
      </w:r>
      <w:proofErr w:type="spellStart"/>
      <w:r w:rsidRPr="00E91BA2">
        <w:t>Plan</w:t>
      </w:r>
      <w:proofErr w:type="spellEnd"/>
      <w:r w:rsidRPr="00E91BA2">
        <w:t xml:space="preserve"> 2025, dedicato alla mobilità pubblica, e l’Urban </w:t>
      </w:r>
      <w:proofErr w:type="spellStart"/>
      <w:r w:rsidRPr="00E91BA2">
        <w:t>Development</w:t>
      </w:r>
      <w:proofErr w:type="spellEnd"/>
      <w:r w:rsidRPr="00E91BA2">
        <w:t xml:space="preserve"> </w:t>
      </w:r>
      <w:proofErr w:type="spellStart"/>
      <w:r w:rsidRPr="00E91BA2">
        <w:t>Plan</w:t>
      </w:r>
      <w:proofErr w:type="spellEnd"/>
      <w:r w:rsidRPr="00E91BA2">
        <w:t xml:space="preserve"> </w:t>
      </w:r>
      <w:proofErr w:type="spellStart"/>
      <w:r w:rsidRPr="00E91BA2">
        <w:t>for</w:t>
      </w:r>
      <w:proofErr w:type="spellEnd"/>
      <w:r w:rsidRPr="00E91BA2">
        <w:t xml:space="preserve"> </w:t>
      </w:r>
      <w:proofErr w:type="spellStart"/>
      <w:r w:rsidRPr="00E91BA2">
        <w:t>Housing</w:t>
      </w:r>
      <w:proofErr w:type="spellEnd"/>
      <w:r w:rsidRPr="00E91BA2">
        <w:t xml:space="preserve"> 2025, rivolto all’edilizia residenziale sociale; nel 2015 è stata infine prodotta la Smart City </w:t>
      </w:r>
      <w:proofErr w:type="spellStart"/>
      <w:r w:rsidRPr="00E91BA2">
        <w:t>Strategy</w:t>
      </w:r>
      <w:proofErr w:type="spellEnd"/>
      <w:r w:rsidRPr="00E91BA2">
        <w:t xml:space="preserve"> </w:t>
      </w:r>
      <w:proofErr w:type="spellStart"/>
      <w:r w:rsidRPr="00E91BA2">
        <w:t>Berlin</w:t>
      </w:r>
      <w:proofErr w:type="spellEnd"/>
      <w:r w:rsidRPr="00E91BA2">
        <w:t xml:space="preserve">. La crescita della città è inquadrata all’interno di un piano di sviluppo policentrico che si concretizza in 10 poli accomunati da tre obiettivi generali: stabilità economica, miglioramento della qualità della vita e della consapevolezza sociale. Forte appare la proiezione verso il futuro: un terzo delle imprese attive in città sono legate a settori ad alta innovazione, dall’energia alla mobilità e alla logistica, dalla sanità ai media alla creatività. I piani per l’edilizia residenziale puntano alla realizzazione di 50.000 nuovi alloggi in 25 grandi siti, ma anche a circa 70.00 nuove case in siti di medie e piccole dimensioni e 30.000 abitazioni diffuse nella città consolidata. L’85% delle case berlinesi è in affitto: ciò testimonia la propensione alla mobilità dei suoi abitanti. La </w:t>
      </w:r>
      <w:proofErr w:type="spellStart"/>
      <w:r w:rsidRPr="00E91BA2">
        <w:rPr>
          <w:i/>
        </w:rPr>
        <w:t>mixité</w:t>
      </w:r>
      <w:proofErr w:type="spellEnd"/>
      <w:r w:rsidRPr="00E91BA2">
        <w:t xml:space="preserve"> etnica e culturale è anch’essa evidentemente in crescita: Berlino prova ad accogliere e integrare, cercando di garantire un’alta qualità della vita. I piani per la mobilità prevedono investimenti pari a circa 7,5 miliardi di euro fra il 2011 e il 2025, con una serie di ambiziosi obiettivi specifici, oltre a quello generale di una mobilità </w:t>
      </w:r>
      <w:proofErr w:type="spellStart"/>
      <w:r w:rsidRPr="00E91BA2">
        <w:rPr>
          <w:i/>
        </w:rPr>
        <w:t>city-friendly</w:t>
      </w:r>
      <w:proofErr w:type="spellEnd"/>
      <w:r w:rsidRPr="00E91BA2">
        <w:t xml:space="preserve">. </w:t>
      </w:r>
    </w:p>
    <w:p w:rsidR="00E91BA2" w:rsidRPr="00E91BA2" w:rsidRDefault="00E91BA2" w:rsidP="00E91BA2">
      <w:pPr>
        <w:ind w:left="426" w:firstLine="708"/>
        <w:jc w:val="both"/>
      </w:pPr>
      <w:r w:rsidRPr="00E91BA2">
        <w:t xml:space="preserve">A Copenaghen, il recente piano strategico per il futuro della città, disegnato all’insegna dello slogan </w:t>
      </w:r>
      <w:proofErr w:type="spellStart"/>
      <w:r w:rsidRPr="00E91BA2">
        <w:rPr>
          <w:i/>
        </w:rPr>
        <w:t>Coherent</w:t>
      </w:r>
      <w:proofErr w:type="spellEnd"/>
      <w:r w:rsidRPr="00E91BA2">
        <w:rPr>
          <w:i/>
        </w:rPr>
        <w:t xml:space="preserve"> City</w:t>
      </w:r>
      <w:r w:rsidRPr="00E91BA2">
        <w:t xml:space="preserve">, prevede 45.000 nuove abitazioni per il 2027, di cui il 95% in prossimità di una stazione metropolitana o ferroviaria; una mobilità equamente distribuita in tre parti uguali fra biciclette, mezzi pubblici e auto private, con un deciso incremento del traffico “verde” (piedi, biciclette e mezzi pubblici) entro il 2025 e una copertura “verde” pari ad almeno il 50% per gli spostamenti verso scuole e posti di lavoro. Ma soprattutto punta alla </w:t>
      </w:r>
      <w:proofErr w:type="spellStart"/>
      <w:r w:rsidRPr="00E91BA2">
        <w:t>densificazione</w:t>
      </w:r>
      <w:proofErr w:type="spellEnd"/>
      <w:r w:rsidRPr="00E91BA2">
        <w:t xml:space="preserve"> dei poli insediativi già esistenti, seguendo il principio del minor disturbo per la popolazione oltre che di ottimizzazione dei finanziamenti: le infrastrutture cresceranno dunque soltanto in presenza di insediamenti di dimensione significativa. Non diversamente dalle altre città scandinave in particolare e nord-europee in generale, favorita dalle buone condizioni economiche e da un alto grado di coesione sociale nonostante la significativa presenza di immigrati, dagli anni Novanta del secolo scorso Copenaghen ha poi gradualmente e intelligentemente consolidato una politica di investimenti volti alla tutela del paesaggio naturale e artificiale, operando attraverso sperimentazioni di rigenerazione urbana e strategie di riassetto territoriale. Di qui, anche, il riconoscimento di </w:t>
      </w:r>
      <w:proofErr w:type="spellStart"/>
      <w:r w:rsidRPr="00E91BA2">
        <w:t>European</w:t>
      </w:r>
      <w:proofErr w:type="spellEnd"/>
      <w:r w:rsidRPr="00E91BA2">
        <w:t xml:space="preserve"> Green Capital nel 2014. Ma è soprattutto il collegamento diretto con la Svezia, determinatosi nel 2000 con la costruzione del ponte di </w:t>
      </w:r>
      <w:proofErr w:type="spellStart"/>
      <w:r w:rsidRPr="00E91BA2">
        <w:t>Øresund</w:t>
      </w:r>
      <w:proofErr w:type="spellEnd"/>
      <w:r w:rsidRPr="00E91BA2">
        <w:t>, ad averne cambiato radicalmente la percezione, trasformando l’area metropolitana danese in direzione transnazionale, legandola a Malm</w:t>
      </w:r>
      <w:r w:rsidRPr="00E91BA2">
        <w:rPr>
          <w:rFonts w:cstheme="minorHAnsi"/>
        </w:rPr>
        <w:t>ö e amplificandone, di conseguenza, le potenzialità di sviluppo</w:t>
      </w:r>
      <w:r w:rsidRPr="00E91BA2">
        <w:t xml:space="preserve">. Esemplare, in tal senso, è il nuovo insediamento di </w:t>
      </w:r>
      <w:proofErr w:type="spellStart"/>
      <w:r w:rsidRPr="00E91BA2">
        <w:t>Ørestad</w:t>
      </w:r>
      <w:proofErr w:type="spellEnd"/>
      <w:r w:rsidRPr="00E91BA2">
        <w:t xml:space="preserve">, baricentrico fra la capitale e l’aeroporto di </w:t>
      </w:r>
      <w:proofErr w:type="spellStart"/>
      <w:r w:rsidRPr="00E91BA2">
        <w:t>Kastrup</w:t>
      </w:r>
      <w:proofErr w:type="spellEnd"/>
      <w:r w:rsidRPr="00E91BA2">
        <w:t xml:space="preserve"> oltre che fra i due Paesi scandinavi.                                                                                                </w:t>
      </w:r>
    </w:p>
    <w:p w:rsidR="00E91BA2" w:rsidRPr="00E91BA2" w:rsidRDefault="00E91BA2" w:rsidP="00E91BA2">
      <w:pPr>
        <w:ind w:left="426" w:firstLine="708"/>
        <w:jc w:val="both"/>
      </w:pPr>
      <w:r w:rsidRPr="00E91BA2">
        <w:t xml:space="preserve">Londra si sta preparando al futuro con lo Smart London </w:t>
      </w:r>
      <w:proofErr w:type="spellStart"/>
      <w:r w:rsidRPr="00E91BA2">
        <w:t>Plan</w:t>
      </w:r>
      <w:proofErr w:type="spellEnd"/>
      <w:r w:rsidRPr="00E91BA2">
        <w:t xml:space="preserve"> del 2011; con i Piani per l’ambiente, redatti fra il 2010 e il 2015; con il Piano per lo sviluppo infrastrutturale 2050, all’insegna dello slogan </w:t>
      </w:r>
      <w:proofErr w:type="spellStart"/>
      <w:r w:rsidRPr="00E91BA2">
        <w:rPr>
          <w:i/>
        </w:rPr>
        <w:t>Bigger</w:t>
      </w:r>
      <w:proofErr w:type="spellEnd"/>
      <w:r w:rsidRPr="00E91BA2">
        <w:rPr>
          <w:i/>
        </w:rPr>
        <w:t xml:space="preserve"> and </w:t>
      </w:r>
      <w:proofErr w:type="spellStart"/>
      <w:r w:rsidRPr="00E91BA2">
        <w:rPr>
          <w:i/>
        </w:rPr>
        <w:t>Better</w:t>
      </w:r>
      <w:proofErr w:type="spellEnd"/>
      <w:r w:rsidRPr="00E91BA2">
        <w:t xml:space="preserve">, in previsione di quasi 3 milioni di nuovi abitanti, frutto di un’ampia ricerca di consenso sociale e coinvolgimento delle imprese e di tutti gli </w:t>
      </w:r>
      <w:proofErr w:type="spellStart"/>
      <w:r w:rsidRPr="00E91BA2">
        <w:rPr>
          <w:i/>
        </w:rPr>
        <w:t>stakeholders</w:t>
      </w:r>
      <w:proofErr w:type="spellEnd"/>
      <w:r w:rsidRPr="00E91BA2">
        <w:t xml:space="preserve"> interessati.  Di qui i progetti per la progressiva  digitalizzazione di ogni aspetto della vita urbana; per il generale miglioramento della rete metropolitana; per nuove linee tranviarie ad alta capacità e una rinnovata rete di autobus meno inquinanti; per nuove “autostrade” ciclabili, nuove strade e per il nuovo </w:t>
      </w:r>
      <w:proofErr w:type="spellStart"/>
      <w:r w:rsidRPr="00E91BA2">
        <w:t>Silvertown</w:t>
      </w:r>
      <w:proofErr w:type="spellEnd"/>
      <w:r w:rsidRPr="00E91BA2">
        <w:t xml:space="preserve"> Tunnel sotto il Tamigi; per l’istituzione della ULEZ, Ultra Low </w:t>
      </w:r>
      <w:proofErr w:type="spellStart"/>
      <w:r w:rsidRPr="00E91BA2">
        <w:t>Emission</w:t>
      </w:r>
      <w:proofErr w:type="spellEnd"/>
      <w:r w:rsidRPr="00E91BA2">
        <w:t xml:space="preserve"> Zone, dove i veicoli più inquinanti saranno costretti a pagare; per grandi piani di rigenerazione di interi quartieri al fine di ospitare il milione e mezzo di abitanti che la città prevede di accogliere entro il 2030. Ancor più ambiziosi i piani per il 2050: sempre più multiculturale e aperta agli scenari globali, Londra avrà bisogno di 1,5 milioni di nuovi alloggi e 9000 ha di aree verdi pubbliche e facilmente accessibili e di un nuovo piano della mobilità, prevalentemente ferroviaria, per attraversare rapidamente le aree centrali </w:t>
      </w:r>
      <w:r w:rsidRPr="00E91BA2">
        <w:lastRenderedPageBreak/>
        <w:t xml:space="preserve">della città o, meglio, per evitarle, agevolandone la decongestione, con un complesso sistema di attraversamenti carrabili sotterranei e la progressiva diffusione di veicoli </w:t>
      </w:r>
      <w:proofErr w:type="spellStart"/>
      <w:r w:rsidRPr="00E91BA2">
        <w:rPr>
          <w:i/>
        </w:rPr>
        <w:t>driverless</w:t>
      </w:r>
      <w:proofErr w:type="spellEnd"/>
      <w:r w:rsidRPr="00E91BA2">
        <w:t>.</w:t>
      </w:r>
    </w:p>
    <w:p w:rsidR="00E91BA2" w:rsidRPr="00E91BA2" w:rsidRDefault="00E91BA2" w:rsidP="00E91BA2">
      <w:pPr>
        <w:ind w:left="426" w:firstLine="708"/>
        <w:jc w:val="both"/>
      </w:pPr>
      <w:r w:rsidRPr="00E91BA2">
        <w:t xml:space="preserve">Dal 2009 Madrid è stata duramente colpita dalla crisi che ha afflitto l’Europa in generale e i suoi Paesi meridionali in particolare e la produzione architettonica ha subito un brusco rallentamento. Un’analoga situazione si è determinata in ambito demografico: se nel periodo 2000-2014 la popolazione urbana ha fatto registrare costanti quanto sensibili aumenti (collocandosi al terzo posto in termini di crescita in Europa, dopo Tirana e Oslo), attualmente le proiezioni per il periodo 2015-2030 prevedono un calo preoccupante. Significativo rimane tuttavia il grande progetto Madrid Centro, che delinea le nuove strategie per il 2030 e con il quale la città cerca di reagire </w:t>
      </w:r>
      <w:proofErr w:type="spellStart"/>
      <w:r w:rsidRPr="00E91BA2">
        <w:t>progettualmente</w:t>
      </w:r>
      <w:proofErr w:type="spellEnd"/>
      <w:r w:rsidRPr="00E91BA2">
        <w:t xml:space="preserve"> ai quasi dieci anni di difficoltà appena vissuti: oltre a una serie di condivisibili obiettivi generali legati alla sostenibilità, alla coesione sociale, alla complessiva ridefinizione dell’identità culturale e urbana e alla progressiva valorizzazione delle aree storiche centrali, il piano è soprattutto caratterizzato da un grande sistema formato da tre assi verdi che svolgeranno la funzione di naturalizzare la città, migliorandone al tempo stesso l’immagine e i livelli di qualità della vita. </w:t>
      </w:r>
    </w:p>
    <w:p w:rsidR="00E91BA2" w:rsidRPr="00E91BA2" w:rsidRDefault="00E91BA2" w:rsidP="00E91BA2">
      <w:pPr>
        <w:ind w:left="426" w:firstLine="708"/>
        <w:jc w:val="both"/>
      </w:pPr>
      <w:r w:rsidRPr="00E91BA2">
        <w:rPr>
          <w:rFonts w:cstheme="minorHAnsi"/>
        </w:rPr>
        <w:t xml:space="preserve">Fra le città italiane, Milano è quella che ha di recente espresso maggiore capacità di rinnovamento, sia pur non sempre all’interno di una strategia coerente e partecipata. Seconda per popolazione dopo Roma, ma prima se si guarda alla città metropolitana, Milano appare anche la più attrattiva nei confronti di giovani, creativi e dei segmenti più attenti all’innovazione. Il rinnovamento architettonico cui sono stati sottoposte alcune sue parti, anche molto centrali, ha interessato in particolare due zone: Porta Nuova Garibaldi e City Life. Il tema dello </w:t>
      </w:r>
      <w:proofErr w:type="spellStart"/>
      <w:r w:rsidRPr="00E91BA2">
        <w:rPr>
          <w:rFonts w:cstheme="minorHAnsi"/>
        </w:rPr>
        <w:t>housing</w:t>
      </w:r>
      <w:proofErr w:type="spellEnd"/>
      <w:r w:rsidRPr="00E91BA2">
        <w:rPr>
          <w:rFonts w:cstheme="minorHAnsi"/>
        </w:rPr>
        <w:t xml:space="preserve"> sociale ha poi trovato applicazione, per esempio, nelle case al Nuovo Portello di Cino Zucchi e nel comparto Campari di Mario Botta a Sesto San Giovanni. Molti i nuovi edifici voluti dalla committenza costituita dai grandi gruppi della moda: si pensi, per esempio al riuscito recupero disegnato da Rem </w:t>
      </w:r>
      <w:proofErr w:type="spellStart"/>
      <w:r w:rsidRPr="00E91BA2">
        <w:rPr>
          <w:rFonts w:cstheme="minorHAnsi"/>
        </w:rPr>
        <w:t>Koolhaas</w:t>
      </w:r>
      <w:proofErr w:type="spellEnd"/>
      <w:r w:rsidRPr="00E91BA2">
        <w:rPr>
          <w:rFonts w:cstheme="minorHAnsi"/>
        </w:rPr>
        <w:t xml:space="preserve"> per la Fondazione Prada. Si segnalano infine </w:t>
      </w:r>
      <w:r w:rsidRPr="00E91BA2">
        <w:rPr>
          <w:rFonts w:eastAsia="ImprintUni-Regular" w:cstheme="minorHAnsi"/>
          <w:iCs/>
        </w:rPr>
        <w:t xml:space="preserve">le nuove sedi dell’Università Bocconi di </w:t>
      </w:r>
      <w:proofErr w:type="spellStart"/>
      <w:r w:rsidRPr="00E91BA2">
        <w:rPr>
          <w:rFonts w:eastAsia="ImprintUni-Regular" w:cstheme="minorHAnsi"/>
          <w:iCs/>
        </w:rPr>
        <w:t>Grafton</w:t>
      </w:r>
      <w:proofErr w:type="spellEnd"/>
      <w:r w:rsidRPr="00E91BA2">
        <w:rPr>
          <w:rFonts w:eastAsia="ImprintUni-Regular" w:cstheme="minorHAnsi"/>
          <w:iCs/>
        </w:rPr>
        <w:t xml:space="preserve"> </w:t>
      </w:r>
      <w:proofErr w:type="spellStart"/>
      <w:r w:rsidRPr="00E91BA2">
        <w:rPr>
          <w:rFonts w:eastAsia="ImprintUni-Regular" w:cstheme="minorHAnsi"/>
          <w:iCs/>
        </w:rPr>
        <w:t>Architects</w:t>
      </w:r>
      <w:proofErr w:type="spellEnd"/>
      <w:r w:rsidRPr="00E91BA2">
        <w:rPr>
          <w:rFonts w:eastAsia="ImprintUni-Regular" w:cstheme="minorHAnsi"/>
          <w:iCs/>
        </w:rPr>
        <w:t xml:space="preserve"> e della Fondazione Feltrinelli a Porta Volta di </w:t>
      </w:r>
      <w:r w:rsidRPr="00E91BA2">
        <w:rPr>
          <w:rFonts w:cstheme="minorHAnsi"/>
        </w:rPr>
        <w:t xml:space="preserve">Herzog &amp; de </w:t>
      </w:r>
      <w:proofErr w:type="spellStart"/>
      <w:r w:rsidRPr="00E91BA2">
        <w:rPr>
          <w:rFonts w:cstheme="minorHAnsi"/>
        </w:rPr>
        <w:t>Meuron</w:t>
      </w:r>
      <w:proofErr w:type="spellEnd"/>
      <w:r w:rsidRPr="00E91BA2">
        <w:rPr>
          <w:rFonts w:cstheme="minorHAnsi"/>
        </w:rPr>
        <w:t xml:space="preserve">. </w:t>
      </w:r>
      <w:r w:rsidRPr="00E91BA2">
        <w:t>Seconda soltanto a Milano per capacità propositive e spinte innovative è stata poi, in questi ultimi anni, Torino. La riconversione dall’età industriale, periodo particolarmente significativo per la storia della città, a quella post-industriale può dirsi ampiamente riuscita.</w:t>
      </w:r>
      <w:r w:rsidRPr="00E91BA2">
        <w:rPr>
          <w:b/>
        </w:rPr>
        <w:t xml:space="preserve"> </w:t>
      </w:r>
      <w:r w:rsidRPr="00E91BA2">
        <w:t xml:space="preserve">Ancora irrisolto resta tuttavia il collegamento ferroviario transfrontaliero ad alta velocità con Lione e quindi con l’Europa occidentale, un progetto, com’è noto, oggetto di gravi contestazioni. Preoccupanti restano anche i tassi d’inquinamento atmosferico. Altrettanto preoccupante appare inoltre la tendenza all’invecchiamento, fenomeno peraltro comune alla maggior parte dei centri urbani italiani. Nel 1974 la città contava 1.203.00 abitanti; da quell’anno, il decremento demografico - dovuto all’esodo verso la provincia e al calo delle nascite - ha fatto perdere a Torino circa 300.000 abitanti, nonostante il sensibile aumento degli stranieri: romeni, in primo luogo, ma anche marocchini, peruviani, cinesi e albanesi. </w:t>
      </w:r>
    </w:p>
    <w:p w:rsidR="00E91BA2" w:rsidRPr="00E91BA2" w:rsidRDefault="00E91BA2" w:rsidP="00E91BA2">
      <w:pPr>
        <w:ind w:left="426" w:firstLine="708"/>
        <w:jc w:val="both"/>
      </w:pPr>
      <w:r w:rsidRPr="00E91BA2">
        <w:t xml:space="preserve">A Parigi sono soprattutto i progetti alla scala urbana a promettere un radicale rinnovamento della città. Si pensi ai 10 scenari per il </w:t>
      </w:r>
      <w:proofErr w:type="spellStart"/>
      <w:r w:rsidRPr="00E91BA2">
        <w:t>Grand</w:t>
      </w:r>
      <w:proofErr w:type="spellEnd"/>
      <w:r w:rsidRPr="00E91BA2">
        <w:t xml:space="preserve"> </w:t>
      </w:r>
      <w:proofErr w:type="spellStart"/>
      <w:r w:rsidRPr="00E91BA2">
        <w:t>Paris</w:t>
      </w:r>
      <w:proofErr w:type="spellEnd"/>
      <w:r w:rsidRPr="00E91BA2">
        <w:t xml:space="preserve">, in mostra nel 2007 alla </w:t>
      </w:r>
      <w:proofErr w:type="spellStart"/>
      <w:r w:rsidRPr="00E91BA2">
        <w:t>Cité</w:t>
      </w:r>
      <w:proofErr w:type="spellEnd"/>
      <w:r w:rsidRPr="00E91BA2">
        <w:t xml:space="preserve"> de l’</w:t>
      </w:r>
      <w:proofErr w:type="spellStart"/>
      <w:r w:rsidRPr="00E91BA2">
        <w:t>Architecture</w:t>
      </w:r>
      <w:proofErr w:type="spellEnd"/>
      <w:r w:rsidRPr="00E91BA2">
        <w:t xml:space="preserve"> e </w:t>
      </w:r>
      <w:proofErr w:type="spellStart"/>
      <w:r w:rsidRPr="00E91BA2">
        <w:t>du</w:t>
      </w:r>
      <w:proofErr w:type="spellEnd"/>
      <w:r w:rsidRPr="00E91BA2">
        <w:t xml:space="preserve"> </w:t>
      </w:r>
      <w:proofErr w:type="spellStart"/>
      <w:r w:rsidRPr="00E91BA2">
        <w:t>Patrimoine</w:t>
      </w:r>
      <w:proofErr w:type="spellEnd"/>
      <w:r w:rsidRPr="00E91BA2">
        <w:t xml:space="preserve">, cui ha fatto seguito il progetto di sviluppo omonimo del 2014 che, rivolto all’intera area metropolitana parigina, punta a migliorare la qualità della vita per i residenti, correggere le disuguaglianze regionali e costruire una città sempre più equa e sostenibile. Il progetto parte dalla constatazione che nella regione sono concentrati 12 milioni di abitanti che rappresentano il 19% della popolazione francese; che vi si produce il 31% del GDP del Paese; che si tratta della prima economia europea sotto diversi punti di vista; del terzo distretto </w:t>
      </w:r>
      <w:proofErr w:type="spellStart"/>
      <w:r w:rsidRPr="00E91BA2">
        <w:t>R&amp;D</w:t>
      </w:r>
      <w:proofErr w:type="spellEnd"/>
      <w:r w:rsidRPr="00E91BA2">
        <w:t xml:space="preserve">, </w:t>
      </w:r>
      <w:proofErr w:type="spellStart"/>
      <w:r w:rsidRPr="00E91BA2">
        <w:t>Research</w:t>
      </w:r>
      <w:proofErr w:type="spellEnd"/>
      <w:r w:rsidRPr="00E91BA2">
        <w:t xml:space="preserve"> and Design del mondo; della città più richiesta per le mostre; del maggiore aeroporto d’Europa (nono al mondo, con 60 milioni di passeggeri l’anno); della terza città più turistica in assoluto.  Un investimento senza precedenti, stimato in 26 miliardi di euro in 15 anni, sotto un’unica </w:t>
      </w:r>
      <w:r w:rsidRPr="00E91BA2">
        <w:rPr>
          <w:i/>
        </w:rPr>
        <w:t>authority</w:t>
      </w:r>
      <w:r w:rsidRPr="00E91BA2">
        <w:t xml:space="preserve">, la </w:t>
      </w:r>
      <w:proofErr w:type="spellStart"/>
      <w:r w:rsidRPr="00E91BA2">
        <w:t>Societé</w:t>
      </w:r>
      <w:proofErr w:type="spellEnd"/>
      <w:r w:rsidRPr="00E91BA2">
        <w:t xml:space="preserve"> </w:t>
      </w:r>
      <w:proofErr w:type="spellStart"/>
      <w:r w:rsidRPr="00E91BA2">
        <w:t>du</w:t>
      </w:r>
      <w:proofErr w:type="spellEnd"/>
      <w:r w:rsidRPr="00E91BA2">
        <w:t xml:space="preserve"> </w:t>
      </w:r>
      <w:proofErr w:type="spellStart"/>
      <w:r w:rsidRPr="00E91BA2">
        <w:t>Grand</w:t>
      </w:r>
      <w:proofErr w:type="spellEnd"/>
      <w:r w:rsidRPr="00E91BA2">
        <w:t xml:space="preserve"> </w:t>
      </w:r>
      <w:proofErr w:type="spellStart"/>
      <w:r w:rsidRPr="00E91BA2">
        <w:t>Paris</w:t>
      </w:r>
      <w:proofErr w:type="spellEnd"/>
      <w:r w:rsidRPr="00E91BA2">
        <w:t xml:space="preserve">, e un’unica </w:t>
      </w:r>
      <w:proofErr w:type="spellStart"/>
      <w:r w:rsidRPr="00E91BA2">
        <w:rPr>
          <w:i/>
        </w:rPr>
        <w:t>governance</w:t>
      </w:r>
      <w:proofErr w:type="spellEnd"/>
      <w:r w:rsidRPr="00E91BA2">
        <w:t xml:space="preserve">, la </w:t>
      </w:r>
      <w:proofErr w:type="spellStart"/>
      <w:r w:rsidRPr="00E91BA2">
        <w:t>Métropole</w:t>
      </w:r>
      <w:proofErr w:type="spellEnd"/>
      <w:r w:rsidRPr="00E91BA2">
        <w:t xml:space="preserve"> </w:t>
      </w:r>
      <w:proofErr w:type="spellStart"/>
      <w:r w:rsidRPr="00E91BA2">
        <w:t>du</w:t>
      </w:r>
      <w:proofErr w:type="spellEnd"/>
      <w:r w:rsidRPr="00E91BA2">
        <w:t xml:space="preserve"> </w:t>
      </w:r>
      <w:proofErr w:type="spellStart"/>
      <w:r w:rsidRPr="00E91BA2">
        <w:t>Grand</w:t>
      </w:r>
      <w:proofErr w:type="spellEnd"/>
      <w:r w:rsidRPr="00E91BA2">
        <w:t xml:space="preserve"> </w:t>
      </w:r>
      <w:proofErr w:type="spellStart"/>
      <w:r w:rsidRPr="00E91BA2">
        <w:t>Paris</w:t>
      </w:r>
      <w:proofErr w:type="spellEnd"/>
      <w:r w:rsidRPr="00E91BA2">
        <w:t xml:space="preserve">. All’interno del nuovo piano per la mobilità è prevista, fra </w:t>
      </w:r>
      <w:r w:rsidRPr="00E91BA2">
        <w:lastRenderedPageBreak/>
        <w:t xml:space="preserve">l’altro, la realizzazione di quattro raccordi autostradali anulari, di collegamenti diretti fra i tre aeroporti internazionali, di 200 km di linee ferroviarie metropolitane completamente automatizzate (per il 90% sotterranee) con 68 nuove stazioni destinate a servire 2 milioni di passeggeri al giorno, oltre a 10 </w:t>
      </w:r>
      <w:r w:rsidRPr="00E91BA2">
        <w:rPr>
          <w:i/>
        </w:rPr>
        <w:t xml:space="preserve">business </w:t>
      </w:r>
      <w:proofErr w:type="spellStart"/>
      <w:r w:rsidRPr="00E91BA2">
        <w:rPr>
          <w:i/>
        </w:rPr>
        <w:t>hubs</w:t>
      </w:r>
      <w:proofErr w:type="spellEnd"/>
      <w:r w:rsidRPr="00E91BA2">
        <w:t xml:space="preserve"> collocati in altrettante posizioni strategiche e a 250.000 alloggi. Ma si pensi anche a </w:t>
      </w:r>
      <w:proofErr w:type="spellStart"/>
      <w:r w:rsidRPr="00E91BA2">
        <w:rPr>
          <w:i/>
        </w:rPr>
        <w:t>Réinventer</w:t>
      </w:r>
      <w:proofErr w:type="spellEnd"/>
      <w:r w:rsidRPr="00E91BA2">
        <w:rPr>
          <w:i/>
        </w:rPr>
        <w:t xml:space="preserve"> </w:t>
      </w:r>
      <w:proofErr w:type="spellStart"/>
      <w:r w:rsidRPr="00E91BA2">
        <w:rPr>
          <w:i/>
        </w:rPr>
        <w:t>Paris</w:t>
      </w:r>
      <w:proofErr w:type="spellEnd"/>
      <w:r w:rsidRPr="00E91BA2">
        <w:t xml:space="preserve">, la mostra tenuta nel 2016 al </w:t>
      </w:r>
      <w:proofErr w:type="spellStart"/>
      <w:r w:rsidRPr="00E91BA2">
        <w:t>Pavillon</w:t>
      </w:r>
      <w:proofErr w:type="spellEnd"/>
      <w:r w:rsidRPr="00E91BA2">
        <w:t xml:space="preserve"> de l’</w:t>
      </w:r>
      <w:proofErr w:type="spellStart"/>
      <w:r w:rsidRPr="00E91BA2">
        <w:t>Arsenal</w:t>
      </w:r>
      <w:proofErr w:type="spellEnd"/>
      <w:r w:rsidRPr="00E91BA2">
        <w:t xml:space="preserve"> che ha esposto 358 progetti prodotti da altrettanti gruppi interdisciplinari chiamati a interrogarsi sul futuro della capitale francese.  Con 74 finalisti e 23 vincitori, ne emerge uno scenario urbano ad alta sostenibilità, destinato a cambiare le modalità dell’abitare, con il superamento della obsoleta dicotomia fra città e campagna, aree edificate e aree rurali, e con l’inserzione di una elevata percentuale di verde (sia pubblico sia privato, con funzioni ricreative ma anche agricole) all’interno della città consolidata. </w:t>
      </w:r>
    </w:p>
    <w:p w:rsidR="00E91BA2" w:rsidRPr="00E91BA2" w:rsidRDefault="00E91BA2" w:rsidP="00E91BA2">
      <w:pPr>
        <w:autoSpaceDE w:val="0"/>
        <w:autoSpaceDN w:val="0"/>
        <w:adjustRightInd w:val="0"/>
        <w:spacing w:after="0" w:line="240" w:lineRule="auto"/>
        <w:ind w:left="426" w:firstLine="708"/>
        <w:jc w:val="both"/>
        <w:rPr>
          <w:rFonts w:eastAsia="ImprintUni-Regular" w:cstheme="minorHAnsi"/>
          <w:iCs/>
        </w:rPr>
      </w:pPr>
      <w:r w:rsidRPr="00E91BA2">
        <w:rPr>
          <w:rFonts w:eastAsia="ImprintUni-Regular" w:cstheme="minorHAnsi"/>
          <w:iCs/>
        </w:rPr>
        <w:t xml:space="preserve">Unica per posizione geografica e stratificazione storica, è infine Istanbul. La più grande città d’Europa - con una popolazione che sfiora i 15 milioni di abitanti, due terzi dei quali nel nostro continente e un terzo in Asia - è anche la maggiore del Medio Oriente. Nonostante la recente tendenza all’islamizzazione e i problemi politici interni, la sua impetuosa crescita, insieme alla valorizzazione del patrimonio architettonico e al rinnovamento culturale della sua classe creativa l’hanno posta all’attenzione internazionale in diversi settori, dal design alla moda all’arte contemporanea. Un nuovo aeroporto è in costruzione sulla costa europea del Mar Nero, 35 km a nord del centro: dotato di sei piste, sarà in grado di ospitare 150 milioni di passeggeri l’anno. I collegamenti fra Europa e Asia sono com’è noto assicurati da due ponti: il </w:t>
      </w:r>
      <w:proofErr w:type="spellStart"/>
      <w:r w:rsidRPr="00E91BA2">
        <w:rPr>
          <w:rFonts w:eastAsia="ImprintUni-Regular" w:cstheme="minorHAnsi"/>
          <w:iCs/>
        </w:rPr>
        <w:t>Bosphorus</w:t>
      </w:r>
      <w:proofErr w:type="spellEnd"/>
      <w:r w:rsidRPr="00E91BA2">
        <w:rPr>
          <w:rFonts w:eastAsia="ImprintUni-Regular" w:cstheme="minorHAnsi"/>
          <w:iCs/>
        </w:rPr>
        <w:t xml:space="preserve"> Bridge e il </w:t>
      </w:r>
      <w:proofErr w:type="spellStart"/>
      <w:r w:rsidRPr="00E91BA2">
        <w:rPr>
          <w:rFonts w:eastAsia="ImprintUni-Regular" w:cstheme="minorHAnsi"/>
          <w:iCs/>
        </w:rPr>
        <w:t>Fatih</w:t>
      </w:r>
      <w:proofErr w:type="spellEnd"/>
      <w:r w:rsidRPr="00E91BA2">
        <w:rPr>
          <w:rFonts w:eastAsia="ImprintUni-Regular" w:cstheme="minorHAnsi"/>
          <w:iCs/>
        </w:rPr>
        <w:t xml:space="preserve"> </w:t>
      </w:r>
      <w:proofErr w:type="spellStart"/>
      <w:r w:rsidRPr="00E91BA2">
        <w:rPr>
          <w:rFonts w:eastAsia="ImprintUni-Regular" w:cstheme="minorHAnsi"/>
          <w:iCs/>
        </w:rPr>
        <w:t>Sultan</w:t>
      </w:r>
      <w:proofErr w:type="spellEnd"/>
      <w:r w:rsidRPr="00E91BA2">
        <w:rPr>
          <w:rFonts w:eastAsia="ImprintUni-Regular" w:cstheme="minorHAnsi"/>
          <w:iCs/>
        </w:rPr>
        <w:t xml:space="preserve"> </w:t>
      </w:r>
      <w:proofErr w:type="spellStart"/>
      <w:r w:rsidRPr="00E91BA2">
        <w:rPr>
          <w:rFonts w:eastAsia="ImprintUni-Regular" w:cstheme="minorHAnsi"/>
          <w:iCs/>
        </w:rPr>
        <w:t>Mehmet</w:t>
      </w:r>
      <w:proofErr w:type="spellEnd"/>
      <w:r w:rsidRPr="00E91BA2">
        <w:rPr>
          <w:rFonts w:eastAsia="ImprintUni-Regular" w:cstheme="minorHAnsi"/>
          <w:iCs/>
        </w:rPr>
        <w:t xml:space="preserve"> Bridge. Non senza polemiche, in costruzione sotto il Bosforo è l’Eurasia Tunnel, galleria a due livelli lunga 14,6 km. La realizzazione di un terzo ponte, lo </w:t>
      </w:r>
      <w:proofErr w:type="spellStart"/>
      <w:r w:rsidRPr="00E91BA2">
        <w:rPr>
          <w:rFonts w:eastAsia="ImprintUni-Regular" w:cstheme="minorHAnsi"/>
          <w:iCs/>
        </w:rPr>
        <w:t>Yavuz</w:t>
      </w:r>
      <w:proofErr w:type="spellEnd"/>
      <w:r w:rsidRPr="00E91BA2">
        <w:rPr>
          <w:rFonts w:eastAsia="ImprintUni-Regular" w:cstheme="minorHAnsi"/>
          <w:iCs/>
        </w:rPr>
        <w:t xml:space="preserve"> </w:t>
      </w:r>
      <w:proofErr w:type="spellStart"/>
      <w:r w:rsidRPr="00E91BA2">
        <w:rPr>
          <w:rFonts w:eastAsia="ImprintUni-Regular" w:cstheme="minorHAnsi"/>
          <w:iCs/>
        </w:rPr>
        <w:t>Sultan</w:t>
      </w:r>
      <w:proofErr w:type="spellEnd"/>
      <w:r w:rsidRPr="00E91BA2">
        <w:rPr>
          <w:rFonts w:eastAsia="ImprintUni-Regular" w:cstheme="minorHAnsi"/>
          <w:iCs/>
        </w:rPr>
        <w:t xml:space="preserve"> </w:t>
      </w:r>
      <w:proofErr w:type="spellStart"/>
      <w:r w:rsidRPr="00E91BA2">
        <w:rPr>
          <w:rFonts w:eastAsia="ImprintUni-Regular" w:cstheme="minorHAnsi"/>
          <w:iCs/>
        </w:rPr>
        <w:t>Selim</w:t>
      </w:r>
      <w:proofErr w:type="spellEnd"/>
      <w:r w:rsidRPr="00E91BA2">
        <w:rPr>
          <w:rFonts w:eastAsia="ImprintUni-Regular" w:cstheme="minorHAnsi"/>
          <w:iCs/>
        </w:rPr>
        <w:t xml:space="preserve"> Bridge, è iniziata nel 2013 non senza proteste ambientaliste. La struttura, lunga 2164 m, con una campata sospesa di 1408 m, ospiterà quattro carreggiate e una linea ferroviaria. Le metropolitane in funzione sono tre, due in Europa e una in Asia; altre linee sono in costruzione. Nel 2013 è stata inaugurata la galleria </w:t>
      </w:r>
      <w:proofErr w:type="spellStart"/>
      <w:r w:rsidRPr="00E91BA2">
        <w:rPr>
          <w:rFonts w:eastAsia="ImprintUni-Regular" w:cstheme="minorHAnsi"/>
          <w:iCs/>
        </w:rPr>
        <w:t>Marmaray</w:t>
      </w:r>
      <w:proofErr w:type="spellEnd"/>
      <w:r w:rsidRPr="00E91BA2">
        <w:rPr>
          <w:rFonts w:eastAsia="ImprintUni-Regular" w:cstheme="minorHAnsi"/>
          <w:iCs/>
        </w:rPr>
        <w:t>, primo collegamento ferroviario diretto fra Tracia e Anatolia: un tubo in cemento armato adagiato sul fondale a profondità che raggiungono i 50 m. Una volta completo, il sistema determinerà un aumento del traffico su rotaia dal 4 al 28%.</w:t>
      </w:r>
    </w:p>
    <w:p w:rsidR="00E91BA2" w:rsidRPr="00E91BA2" w:rsidRDefault="00E91BA2" w:rsidP="00E91BA2">
      <w:pPr>
        <w:autoSpaceDE w:val="0"/>
        <w:autoSpaceDN w:val="0"/>
        <w:adjustRightInd w:val="0"/>
        <w:spacing w:after="0" w:line="240" w:lineRule="auto"/>
        <w:ind w:left="426"/>
        <w:jc w:val="both"/>
        <w:rPr>
          <w:rFonts w:eastAsia="ImprintUni-Regular" w:cstheme="minorHAnsi"/>
          <w:iCs/>
        </w:rPr>
      </w:pPr>
    </w:p>
    <w:p w:rsidR="00E91BA2" w:rsidRPr="00E91BA2" w:rsidRDefault="00E91BA2" w:rsidP="00E91BA2">
      <w:pPr>
        <w:autoSpaceDE w:val="0"/>
        <w:autoSpaceDN w:val="0"/>
        <w:adjustRightInd w:val="0"/>
        <w:spacing w:after="0" w:line="240" w:lineRule="auto"/>
        <w:ind w:left="426"/>
        <w:jc w:val="both"/>
        <w:rPr>
          <w:rFonts w:eastAsia="ImprintUni-Regular" w:cstheme="minorHAnsi"/>
          <w:i/>
          <w:iCs/>
        </w:rPr>
      </w:pPr>
      <w:r w:rsidRPr="00E91BA2">
        <w:rPr>
          <w:rFonts w:eastAsia="ImprintUni-Regular" w:cstheme="minorHAnsi"/>
          <w:i/>
          <w:iCs/>
        </w:rPr>
        <w:t>Conclusioni</w:t>
      </w:r>
    </w:p>
    <w:p w:rsidR="00E91BA2" w:rsidRPr="00E91BA2" w:rsidRDefault="00E91BA2" w:rsidP="00E91BA2">
      <w:pPr>
        <w:autoSpaceDE w:val="0"/>
        <w:autoSpaceDN w:val="0"/>
        <w:adjustRightInd w:val="0"/>
        <w:spacing w:after="0" w:line="240" w:lineRule="auto"/>
        <w:ind w:left="426"/>
        <w:jc w:val="both"/>
        <w:rPr>
          <w:rFonts w:eastAsia="ImprintUni-Regular" w:cstheme="minorHAnsi"/>
          <w:i/>
          <w:iCs/>
        </w:rPr>
      </w:pPr>
    </w:p>
    <w:p w:rsidR="00E91BA2" w:rsidRPr="00E91BA2" w:rsidRDefault="00E91BA2" w:rsidP="00E91BA2">
      <w:pPr>
        <w:ind w:left="426" w:firstLine="708"/>
        <w:jc w:val="both"/>
      </w:pPr>
      <w:r w:rsidRPr="00E91BA2">
        <w:t xml:space="preserve">A cavallo tra I e il II secolo d.C., Tertulliano usa il verbo </w:t>
      </w:r>
      <w:r w:rsidRPr="00E91BA2">
        <w:rPr>
          <w:i/>
        </w:rPr>
        <w:t>mortificare</w:t>
      </w:r>
      <w:r w:rsidRPr="00E91BA2">
        <w:t xml:space="preserve"> per significare “mettere a morte”, “far morire”. Dall’assenza di </w:t>
      </w:r>
      <w:r w:rsidRPr="00E91BA2">
        <w:rPr>
          <w:i/>
        </w:rPr>
        <w:t>vision</w:t>
      </w:r>
      <w:r w:rsidRPr="00E91BA2">
        <w:t xml:space="preserve">, di strategia progettuale, di prospettiva, in una parola di disegno per il futuro, le città escono </w:t>
      </w:r>
      <w:r w:rsidRPr="00E91BA2">
        <w:rPr>
          <w:i/>
        </w:rPr>
        <w:t>mortificate</w:t>
      </w:r>
      <w:r w:rsidRPr="00E91BA2">
        <w:t xml:space="preserve"> nel senso etimologico del termine. L’assenza di disegno per il futuro costituisce una condanna a morte per le città. </w:t>
      </w:r>
    </w:p>
    <w:p w:rsidR="00D40EC4" w:rsidRPr="00D40EC4" w:rsidRDefault="00473073" w:rsidP="00D40EC4">
      <w:pPr>
        <w:pStyle w:val="Paragrafoelenco"/>
        <w:numPr>
          <w:ilvl w:val="0"/>
          <w:numId w:val="1"/>
        </w:numPr>
        <w:rPr>
          <w:b/>
        </w:rPr>
      </w:pPr>
      <w:proofErr w:type="spellStart"/>
      <w:r w:rsidRPr="00473073">
        <w:rPr>
          <w:b/>
        </w:rPr>
        <w:t>Abstract</w:t>
      </w:r>
      <w:proofErr w:type="spellEnd"/>
      <w:r w:rsidR="006D7FC2">
        <w:rPr>
          <w:b/>
        </w:rPr>
        <w:t xml:space="preserve"> </w:t>
      </w:r>
    </w:p>
    <w:p w:rsidR="007645BF" w:rsidRPr="00D40EC4" w:rsidRDefault="00D40EC4" w:rsidP="00D40EC4">
      <w:pPr>
        <w:ind w:left="426"/>
        <w:jc w:val="both"/>
      </w:pPr>
      <w:r w:rsidRPr="00D40EC4">
        <w:t>Il saggio presenta una ricerca condotta all’interno del Laboratorio di Disegno dell’Università degli Studi “G. d’Annunzio” di Chieti - Pescara dedicata al disegno delle città a partire da casi-studio selezionati dal CRESME. Da Amsterdam a Copenaghen, da Londra a Milano, da Rotterdam a Torino</w:t>
      </w:r>
      <w:r w:rsidR="004829E7">
        <w:t>,</w:t>
      </w:r>
      <w:r w:rsidRPr="00D40EC4">
        <w:t xml:space="preserve"> il disegno non è solo strumento di conoscenza e analisi delle realtà urbane prese in esame ma è, soprattutto, strumento della progettualità che tali città esprimono, ciò che le proietta verso il futuro.</w:t>
      </w:r>
    </w:p>
    <w:p w:rsidR="00473073" w:rsidRPr="007645BF" w:rsidRDefault="006D7FC2" w:rsidP="00473073">
      <w:pPr>
        <w:pStyle w:val="Paragrafoelenco"/>
        <w:numPr>
          <w:ilvl w:val="0"/>
          <w:numId w:val="1"/>
        </w:numPr>
      </w:pPr>
      <w:r>
        <w:rPr>
          <w:b/>
        </w:rPr>
        <w:t>Parole chiave</w:t>
      </w:r>
    </w:p>
    <w:p w:rsidR="007645BF" w:rsidRDefault="007645BF" w:rsidP="007645BF">
      <w:pPr>
        <w:ind w:left="360"/>
      </w:pPr>
      <w:r>
        <w:t>Città, disegno, visione</w:t>
      </w:r>
    </w:p>
    <w:p w:rsidR="007645BF" w:rsidRPr="00473073" w:rsidRDefault="00F91D66" w:rsidP="007645BF">
      <w:pPr>
        <w:ind w:left="360"/>
      </w:pPr>
      <w:r>
        <w:t>City, desi</w:t>
      </w:r>
      <w:r w:rsidR="007645BF">
        <w:t>g</w:t>
      </w:r>
      <w:r>
        <w:t>n</w:t>
      </w:r>
      <w:r w:rsidR="007645BF">
        <w:t>, vision</w:t>
      </w:r>
    </w:p>
    <w:p w:rsidR="00C5789F" w:rsidRPr="00C5789F" w:rsidRDefault="00C5789F" w:rsidP="00C5789F">
      <w:pPr>
        <w:pStyle w:val="Paragrafoelenco"/>
        <w:numPr>
          <w:ilvl w:val="0"/>
          <w:numId w:val="1"/>
        </w:numPr>
      </w:pPr>
      <w:r>
        <w:rPr>
          <w:b/>
        </w:rPr>
        <w:t>B</w:t>
      </w:r>
      <w:r w:rsidR="00850ED9">
        <w:rPr>
          <w:b/>
        </w:rPr>
        <w:t>ibliografia</w:t>
      </w:r>
      <w:r w:rsidRPr="00C5789F">
        <w:rPr>
          <w:rFonts w:cstheme="minorHAnsi"/>
          <w:sz w:val="24"/>
          <w:szCs w:val="24"/>
        </w:rPr>
        <w:t xml:space="preserve"> </w:t>
      </w:r>
    </w:p>
    <w:p w:rsidR="007645BF" w:rsidRDefault="00C5789F" w:rsidP="006D7FC2">
      <w:pPr>
        <w:spacing w:line="256" w:lineRule="auto"/>
        <w:ind w:left="426"/>
        <w:jc w:val="both"/>
      </w:pPr>
      <w:proofErr w:type="spellStart"/>
      <w:r w:rsidRPr="00C5789F">
        <w:rPr>
          <w:rFonts w:cstheme="minorHAnsi"/>
        </w:rPr>
        <w:t>Bauman</w:t>
      </w:r>
      <w:proofErr w:type="spellEnd"/>
      <w:r>
        <w:rPr>
          <w:rFonts w:cstheme="minorHAnsi"/>
        </w:rPr>
        <w:t xml:space="preserve"> </w:t>
      </w:r>
      <w:proofErr w:type="spellStart"/>
      <w:r>
        <w:rPr>
          <w:rFonts w:cstheme="minorHAnsi"/>
        </w:rPr>
        <w:t>Z</w:t>
      </w:r>
      <w:proofErr w:type="spellEnd"/>
      <w:r>
        <w:rPr>
          <w:rFonts w:cstheme="minorHAnsi"/>
        </w:rPr>
        <w:t>.</w:t>
      </w:r>
      <w:r w:rsidRPr="00C5789F">
        <w:rPr>
          <w:rFonts w:cstheme="minorHAnsi"/>
        </w:rPr>
        <w:t xml:space="preserve">, </w:t>
      </w:r>
      <w:r w:rsidRPr="00C5789F">
        <w:rPr>
          <w:rFonts w:cstheme="minorHAnsi"/>
          <w:i/>
        </w:rPr>
        <w:t>Modus vivendi, inferno e utopia del mondo liquido</w:t>
      </w:r>
      <w:r w:rsidRPr="00C5789F">
        <w:rPr>
          <w:rFonts w:cstheme="minorHAnsi"/>
        </w:rPr>
        <w:t>, Laterza, Roma-Bari 2007 (ed. or. 2006);</w:t>
      </w:r>
      <w:r>
        <w:rPr>
          <w:rFonts w:cstheme="minorHAnsi"/>
        </w:rPr>
        <w:t xml:space="preserve"> </w:t>
      </w:r>
      <w:r w:rsidRPr="00C5789F">
        <w:rPr>
          <w:rFonts w:cstheme="minorHAnsi"/>
          <w:lang w:val="en-US"/>
        </w:rPr>
        <w:t>Burdett</w:t>
      </w:r>
      <w:r>
        <w:rPr>
          <w:rFonts w:cstheme="minorHAnsi"/>
          <w:lang w:val="en-US"/>
        </w:rPr>
        <w:t xml:space="preserve"> R., </w:t>
      </w:r>
      <w:proofErr w:type="spellStart"/>
      <w:r w:rsidRPr="00C5789F">
        <w:rPr>
          <w:rFonts w:cstheme="minorHAnsi"/>
          <w:lang w:val="en-US"/>
        </w:rPr>
        <w:t>Sudjic</w:t>
      </w:r>
      <w:proofErr w:type="spellEnd"/>
      <w:r w:rsidRPr="00C5789F">
        <w:rPr>
          <w:rFonts w:cstheme="minorHAnsi"/>
          <w:lang w:val="en-US"/>
        </w:rPr>
        <w:t xml:space="preserve"> </w:t>
      </w:r>
      <w:r>
        <w:rPr>
          <w:rFonts w:cstheme="minorHAnsi"/>
          <w:lang w:val="en-US"/>
        </w:rPr>
        <w:t xml:space="preserve">D. </w:t>
      </w:r>
      <w:r w:rsidRPr="00C5789F">
        <w:rPr>
          <w:rFonts w:cstheme="minorHAnsi"/>
          <w:lang w:val="en-US"/>
        </w:rPr>
        <w:t xml:space="preserve">(ed.), </w:t>
      </w:r>
      <w:proofErr w:type="spellStart"/>
      <w:r w:rsidRPr="00C5789F">
        <w:rPr>
          <w:rFonts w:cstheme="minorHAnsi"/>
          <w:i/>
          <w:lang w:val="en-US"/>
        </w:rPr>
        <w:t>Città</w:t>
      </w:r>
      <w:proofErr w:type="spellEnd"/>
      <w:r w:rsidRPr="00C5789F">
        <w:rPr>
          <w:rFonts w:cstheme="minorHAnsi"/>
          <w:i/>
          <w:lang w:val="en-US"/>
        </w:rPr>
        <w:t xml:space="preserve">. </w:t>
      </w:r>
      <w:r w:rsidRPr="00C5789F">
        <w:rPr>
          <w:rFonts w:cstheme="minorHAnsi"/>
          <w:i/>
        </w:rPr>
        <w:t>Architettura e società</w:t>
      </w:r>
      <w:r w:rsidRPr="00C5789F">
        <w:rPr>
          <w:rFonts w:cstheme="minorHAnsi"/>
        </w:rPr>
        <w:t xml:space="preserve">, la Biennale di Venezia, 10. Mostra </w:t>
      </w:r>
      <w:r w:rsidRPr="00C5789F">
        <w:rPr>
          <w:rFonts w:cstheme="minorHAnsi"/>
        </w:rPr>
        <w:lastRenderedPageBreak/>
        <w:t xml:space="preserve">Internazionale di Architettura, Marsilio, Venezia 2006; </w:t>
      </w:r>
      <w:proofErr w:type="spellStart"/>
      <w:r w:rsidRPr="00C5789F">
        <w:rPr>
          <w:rFonts w:cstheme="minorHAnsi"/>
        </w:rPr>
        <w:t>Burdett</w:t>
      </w:r>
      <w:proofErr w:type="spellEnd"/>
      <w:r>
        <w:rPr>
          <w:rFonts w:cstheme="minorHAnsi"/>
        </w:rPr>
        <w:t xml:space="preserve"> R.</w:t>
      </w:r>
      <w:r w:rsidRPr="00C5789F">
        <w:rPr>
          <w:rFonts w:cstheme="minorHAnsi"/>
        </w:rPr>
        <w:t>,</w:t>
      </w:r>
      <w:r>
        <w:rPr>
          <w:rFonts w:cstheme="minorHAnsi"/>
        </w:rPr>
        <w:t xml:space="preserve"> </w:t>
      </w:r>
      <w:proofErr w:type="spellStart"/>
      <w:r w:rsidRPr="00C5789F">
        <w:rPr>
          <w:rFonts w:cstheme="minorHAnsi"/>
        </w:rPr>
        <w:t>Sudjic</w:t>
      </w:r>
      <w:proofErr w:type="spellEnd"/>
      <w:r w:rsidRPr="00C5789F">
        <w:rPr>
          <w:rFonts w:cstheme="minorHAnsi"/>
        </w:rPr>
        <w:t xml:space="preserve"> </w:t>
      </w:r>
      <w:r>
        <w:rPr>
          <w:rFonts w:cstheme="minorHAnsi"/>
        </w:rPr>
        <w:t xml:space="preserve">D. </w:t>
      </w:r>
      <w:r w:rsidRPr="00C5789F">
        <w:rPr>
          <w:rFonts w:cstheme="minorHAnsi"/>
        </w:rPr>
        <w:t xml:space="preserve">(ed.), </w:t>
      </w:r>
      <w:r w:rsidRPr="00C5789F">
        <w:rPr>
          <w:rFonts w:cstheme="minorHAnsi"/>
          <w:i/>
        </w:rPr>
        <w:t xml:space="preserve">The </w:t>
      </w:r>
      <w:proofErr w:type="spellStart"/>
      <w:r w:rsidRPr="00C5789F">
        <w:rPr>
          <w:rFonts w:cstheme="minorHAnsi"/>
          <w:i/>
        </w:rPr>
        <w:t>Endless</w:t>
      </w:r>
      <w:proofErr w:type="spellEnd"/>
      <w:r w:rsidRPr="00C5789F">
        <w:rPr>
          <w:rFonts w:cstheme="minorHAnsi"/>
          <w:i/>
        </w:rPr>
        <w:t xml:space="preserve"> City</w:t>
      </w:r>
      <w:r w:rsidRPr="00C5789F">
        <w:rPr>
          <w:rFonts w:cstheme="minorHAnsi"/>
        </w:rPr>
        <w:t xml:space="preserve">, The </w:t>
      </w:r>
      <w:proofErr w:type="spellStart"/>
      <w:r w:rsidRPr="00C5789F">
        <w:rPr>
          <w:rFonts w:cstheme="minorHAnsi"/>
        </w:rPr>
        <w:t>Urban</w:t>
      </w:r>
      <w:proofErr w:type="spellEnd"/>
      <w:r w:rsidRPr="00C5789F">
        <w:rPr>
          <w:rFonts w:cstheme="minorHAnsi"/>
        </w:rPr>
        <w:t xml:space="preserve"> Age Project </w:t>
      </w:r>
      <w:proofErr w:type="spellStart"/>
      <w:r w:rsidRPr="00C5789F">
        <w:rPr>
          <w:rFonts w:cstheme="minorHAnsi"/>
        </w:rPr>
        <w:t>by</w:t>
      </w:r>
      <w:proofErr w:type="spellEnd"/>
      <w:r w:rsidRPr="00C5789F">
        <w:rPr>
          <w:rFonts w:cstheme="minorHAnsi"/>
        </w:rPr>
        <w:t xml:space="preserve"> the London </w:t>
      </w:r>
      <w:proofErr w:type="spellStart"/>
      <w:r w:rsidRPr="00C5789F">
        <w:rPr>
          <w:rFonts w:cstheme="minorHAnsi"/>
        </w:rPr>
        <w:t>School</w:t>
      </w:r>
      <w:proofErr w:type="spellEnd"/>
      <w:r w:rsidRPr="00C5789F">
        <w:rPr>
          <w:rFonts w:cstheme="minorHAnsi"/>
        </w:rPr>
        <w:t xml:space="preserve"> </w:t>
      </w:r>
      <w:proofErr w:type="spellStart"/>
      <w:r w:rsidRPr="00C5789F">
        <w:rPr>
          <w:rFonts w:cstheme="minorHAnsi"/>
        </w:rPr>
        <w:t>of</w:t>
      </w:r>
      <w:proofErr w:type="spellEnd"/>
      <w:r w:rsidRPr="00C5789F">
        <w:rPr>
          <w:rFonts w:cstheme="minorHAnsi"/>
        </w:rPr>
        <w:t xml:space="preserve"> </w:t>
      </w:r>
      <w:proofErr w:type="spellStart"/>
      <w:r w:rsidRPr="00C5789F">
        <w:rPr>
          <w:rFonts w:cstheme="minorHAnsi"/>
        </w:rPr>
        <w:t>Economics</w:t>
      </w:r>
      <w:proofErr w:type="spellEnd"/>
      <w:r w:rsidRPr="00C5789F">
        <w:rPr>
          <w:rFonts w:cstheme="minorHAnsi"/>
        </w:rPr>
        <w:t xml:space="preserve"> and </w:t>
      </w:r>
      <w:proofErr w:type="spellStart"/>
      <w:r w:rsidRPr="00C5789F">
        <w:rPr>
          <w:rFonts w:cstheme="minorHAnsi"/>
        </w:rPr>
        <w:t>Deutsche</w:t>
      </w:r>
      <w:proofErr w:type="spellEnd"/>
      <w:r w:rsidRPr="00C5789F">
        <w:rPr>
          <w:rFonts w:cstheme="minorHAnsi"/>
        </w:rPr>
        <w:t xml:space="preserve"> </w:t>
      </w:r>
      <w:proofErr w:type="spellStart"/>
      <w:r w:rsidRPr="00C5789F">
        <w:rPr>
          <w:rFonts w:cstheme="minorHAnsi"/>
        </w:rPr>
        <w:t>Bank's</w:t>
      </w:r>
      <w:proofErr w:type="spellEnd"/>
      <w:r w:rsidRPr="00C5789F">
        <w:rPr>
          <w:rFonts w:cstheme="minorHAnsi"/>
        </w:rPr>
        <w:t xml:space="preserve"> Alfred </w:t>
      </w:r>
      <w:proofErr w:type="spellStart"/>
      <w:r w:rsidRPr="00C5789F">
        <w:rPr>
          <w:rFonts w:cstheme="minorHAnsi"/>
        </w:rPr>
        <w:t>Herrhausen</w:t>
      </w:r>
      <w:proofErr w:type="spellEnd"/>
      <w:r w:rsidRPr="00C5789F">
        <w:rPr>
          <w:rFonts w:cstheme="minorHAnsi"/>
        </w:rPr>
        <w:t xml:space="preserve"> Society, </w:t>
      </w:r>
      <w:proofErr w:type="spellStart"/>
      <w:r w:rsidRPr="00C5789F">
        <w:rPr>
          <w:rFonts w:cstheme="minorHAnsi"/>
        </w:rPr>
        <w:t>Phaidon</w:t>
      </w:r>
      <w:proofErr w:type="spellEnd"/>
      <w:r w:rsidRPr="00C5789F">
        <w:rPr>
          <w:rFonts w:cstheme="minorHAnsi"/>
        </w:rPr>
        <w:t xml:space="preserve">, </w:t>
      </w:r>
      <w:proofErr w:type="spellStart"/>
      <w:r w:rsidRPr="00C5789F">
        <w:rPr>
          <w:rFonts w:cstheme="minorHAnsi"/>
        </w:rPr>
        <w:t>London-New</w:t>
      </w:r>
      <w:proofErr w:type="spellEnd"/>
      <w:r w:rsidRPr="00C5789F">
        <w:rPr>
          <w:rFonts w:cstheme="minorHAnsi"/>
        </w:rPr>
        <w:t xml:space="preserve"> York 2007; </w:t>
      </w:r>
      <w:r w:rsidRPr="00C5789F">
        <w:rPr>
          <w:rFonts w:cstheme="minorHAnsi"/>
          <w:lang w:val="en-US"/>
        </w:rPr>
        <w:t>Burdett</w:t>
      </w:r>
      <w:r>
        <w:rPr>
          <w:rFonts w:cstheme="minorHAnsi"/>
          <w:lang w:val="en-US"/>
        </w:rPr>
        <w:t xml:space="preserve"> R., </w:t>
      </w:r>
      <w:proofErr w:type="spellStart"/>
      <w:r w:rsidRPr="00C5789F">
        <w:rPr>
          <w:rFonts w:cstheme="minorHAnsi"/>
          <w:lang w:val="en-US"/>
        </w:rPr>
        <w:t>Sudjic</w:t>
      </w:r>
      <w:proofErr w:type="spellEnd"/>
      <w:r w:rsidRPr="00C5789F">
        <w:rPr>
          <w:rFonts w:cstheme="minorHAnsi"/>
          <w:lang w:val="en-US"/>
        </w:rPr>
        <w:t xml:space="preserve"> </w:t>
      </w:r>
      <w:r>
        <w:rPr>
          <w:rFonts w:cstheme="minorHAnsi"/>
          <w:lang w:val="en-US"/>
        </w:rPr>
        <w:t xml:space="preserve">D. </w:t>
      </w:r>
      <w:r w:rsidRPr="00C5789F">
        <w:rPr>
          <w:rFonts w:cstheme="minorHAnsi"/>
          <w:lang w:val="en-US"/>
        </w:rPr>
        <w:t xml:space="preserve">(ed.), </w:t>
      </w:r>
      <w:r w:rsidRPr="00C5789F">
        <w:rPr>
          <w:rFonts w:cstheme="minorHAnsi"/>
          <w:i/>
          <w:lang w:val="en-US"/>
        </w:rPr>
        <w:t>Living in the endless city</w:t>
      </w:r>
      <w:r w:rsidRPr="00C5789F">
        <w:rPr>
          <w:rFonts w:cstheme="minorHAnsi"/>
          <w:lang w:val="en-US"/>
        </w:rPr>
        <w:t xml:space="preserve">, London 2011; </w:t>
      </w:r>
      <w:proofErr w:type="spellStart"/>
      <w:r w:rsidRPr="00C5789F">
        <w:rPr>
          <w:rFonts w:cstheme="minorHAnsi"/>
          <w:lang w:val="en-US"/>
        </w:rPr>
        <w:t>Droege</w:t>
      </w:r>
      <w:proofErr w:type="spellEnd"/>
      <w:r>
        <w:rPr>
          <w:rFonts w:cstheme="minorHAnsi"/>
          <w:lang w:val="en-US"/>
        </w:rPr>
        <w:t xml:space="preserve"> P.</w:t>
      </w:r>
      <w:r w:rsidRPr="00C5789F">
        <w:rPr>
          <w:rFonts w:cstheme="minorHAnsi"/>
          <w:lang w:val="en-US"/>
        </w:rPr>
        <w:t xml:space="preserve">, </w:t>
      </w:r>
      <w:r w:rsidRPr="00C5789F">
        <w:rPr>
          <w:rFonts w:cstheme="minorHAnsi"/>
          <w:i/>
          <w:lang w:val="en-US"/>
        </w:rPr>
        <w:t>The Renewable City - A comprehensive guide to an urban revolution</w:t>
      </w:r>
      <w:r w:rsidRPr="00C5789F">
        <w:rPr>
          <w:rFonts w:cstheme="minorHAnsi"/>
          <w:lang w:val="en-US"/>
        </w:rPr>
        <w:t xml:space="preserve">, </w:t>
      </w:r>
      <w:proofErr w:type="spellStart"/>
      <w:r w:rsidRPr="00C5789F">
        <w:rPr>
          <w:rFonts w:cstheme="minorHAnsi"/>
          <w:lang w:val="en-US"/>
        </w:rPr>
        <w:t>Chichester</w:t>
      </w:r>
      <w:proofErr w:type="spellEnd"/>
      <w:r w:rsidRPr="00C5789F">
        <w:rPr>
          <w:rFonts w:cstheme="minorHAnsi"/>
          <w:lang w:val="en-US"/>
        </w:rPr>
        <w:t xml:space="preserve"> 2006; </w:t>
      </w:r>
      <w:proofErr w:type="spellStart"/>
      <w:r w:rsidR="00B3162B" w:rsidRPr="00B3162B">
        <w:t>Gadamer</w:t>
      </w:r>
      <w:proofErr w:type="spellEnd"/>
      <w:r w:rsidR="00B3162B" w:rsidRPr="00B3162B">
        <w:t xml:space="preserve"> </w:t>
      </w:r>
      <w:proofErr w:type="spellStart"/>
      <w:r w:rsidR="00B3162B" w:rsidRPr="00B3162B">
        <w:t>H.G.</w:t>
      </w:r>
      <w:proofErr w:type="spellEnd"/>
      <w:r w:rsidR="00B3162B" w:rsidRPr="00B3162B">
        <w:t xml:space="preserve">, </w:t>
      </w:r>
      <w:r w:rsidR="00B3162B" w:rsidRPr="00B3162B">
        <w:rPr>
          <w:i/>
        </w:rPr>
        <w:t>Verità e metodo</w:t>
      </w:r>
      <w:r w:rsidR="00B3162B" w:rsidRPr="00B3162B">
        <w:t xml:space="preserve">, Bompiani, Milano 1983; </w:t>
      </w:r>
      <w:proofErr w:type="spellStart"/>
      <w:r w:rsidRPr="00C5789F">
        <w:rPr>
          <w:rFonts w:cstheme="minorHAnsi"/>
          <w:lang w:val="en-US"/>
        </w:rPr>
        <w:t>Glaeser</w:t>
      </w:r>
      <w:proofErr w:type="spellEnd"/>
      <w:r>
        <w:rPr>
          <w:rFonts w:cstheme="minorHAnsi"/>
          <w:lang w:val="en-US"/>
        </w:rPr>
        <w:t xml:space="preserve"> E.</w:t>
      </w:r>
      <w:r w:rsidRPr="00C5789F">
        <w:rPr>
          <w:rFonts w:cstheme="minorHAnsi"/>
          <w:lang w:val="en-US"/>
        </w:rPr>
        <w:t xml:space="preserve">, </w:t>
      </w:r>
      <w:r w:rsidRPr="00C5789F">
        <w:rPr>
          <w:rFonts w:cstheme="minorHAnsi"/>
          <w:i/>
          <w:lang w:val="en-US"/>
        </w:rPr>
        <w:t>Triumph of the City</w:t>
      </w:r>
      <w:r w:rsidRPr="00C5789F">
        <w:rPr>
          <w:rFonts w:cstheme="minorHAnsi"/>
          <w:lang w:val="en-US"/>
        </w:rPr>
        <w:t xml:space="preserve">, London 2011; </w:t>
      </w:r>
      <w:r>
        <w:rPr>
          <w:rFonts w:cstheme="minorHAnsi"/>
        </w:rPr>
        <w:t>Piano R.,</w:t>
      </w:r>
      <w:r w:rsidRPr="00C5789F">
        <w:rPr>
          <w:rFonts w:cstheme="minorHAnsi"/>
        </w:rPr>
        <w:t xml:space="preserve"> </w:t>
      </w:r>
      <w:r w:rsidRPr="00C5789F">
        <w:rPr>
          <w:rFonts w:cstheme="minorHAnsi"/>
          <w:i/>
        </w:rPr>
        <w:t>La responsabilità dell'architetto</w:t>
      </w:r>
      <w:r w:rsidRPr="00C5789F">
        <w:rPr>
          <w:rFonts w:cstheme="minorHAnsi"/>
        </w:rPr>
        <w:t xml:space="preserve">, Conversazione con R. </w:t>
      </w:r>
      <w:proofErr w:type="spellStart"/>
      <w:r w:rsidRPr="00C5789F">
        <w:rPr>
          <w:rFonts w:cstheme="minorHAnsi"/>
        </w:rPr>
        <w:t>Cassigoli</w:t>
      </w:r>
      <w:proofErr w:type="spellEnd"/>
      <w:r w:rsidRPr="00C5789F">
        <w:rPr>
          <w:rFonts w:cstheme="minorHAnsi"/>
        </w:rPr>
        <w:t xml:space="preserve">, </w:t>
      </w:r>
      <w:proofErr w:type="spellStart"/>
      <w:r w:rsidRPr="00C5789F">
        <w:rPr>
          <w:rFonts w:cstheme="minorHAnsi"/>
        </w:rPr>
        <w:t>Passigli</w:t>
      </w:r>
      <w:proofErr w:type="spellEnd"/>
      <w:r w:rsidRPr="00C5789F">
        <w:rPr>
          <w:rFonts w:cstheme="minorHAnsi"/>
        </w:rPr>
        <w:t>, Bagno a Ripoli (FI) 2007; Romano</w:t>
      </w:r>
      <w:r>
        <w:rPr>
          <w:rFonts w:cstheme="minorHAnsi"/>
        </w:rPr>
        <w:t xml:space="preserve"> M.</w:t>
      </w:r>
      <w:r w:rsidRPr="00C5789F">
        <w:rPr>
          <w:rFonts w:cstheme="minorHAnsi"/>
        </w:rPr>
        <w:t xml:space="preserve">, </w:t>
      </w:r>
      <w:r w:rsidRPr="00C5789F">
        <w:rPr>
          <w:rFonts w:cstheme="minorHAnsi"/>
          <w:i/>
        </w:rPr>
        <w:t>La città come opera d'arte</w:t>
      </w:r>
      <w:r w:rsidRPr="00C5789F">
        <w:rPr>
          <w:rFonts w:cstheme="minorHAnsi"/>
        </w:rPr>
        <w:t xml:space="preserve">, Einaudi, Torino 2008; </w:t>
      </w:r>
      <w:proofErr w:type="spellStart"/>
      <w:r w:rsidRPr="00C5789F">
        <w:rPr>
          <w:rFonts w:cstheme="minorHAnsi"/>
          <w:lang w:val="en-US"/>
        </w:rPr>
        <w:t>Rykwert</w:t>
      </w:r>
      <w:proofErr w:type="spellEnd"/>
      <w:r>
        <w:rPr>
          <w:rFonts w:cstheme="minorHAnsi"/>
          <w:lang w:val="en-US"/>
        </w:rPr>
        <w:t xml:space="preserve"> J.</w:t>
      </w:r>
      <w:r w:rsidRPr="00C5789F">
        <w:rPr>
          <w:rFonts w:cstheme="minorHAnsi"/>
          <w:lang w:val="en-US"/>
        </w:rPr>
        <w:t xml:space="preserve">, </w:t>
      </w:r>
      <w:r w:rsidRPr="00C5789F">
        <w:rPr>
          <w:rFonts w:cstheme="minorHAnsi"/>
          <w:i/>
          <w:lang w:val="en-US"/>
        </w:rPr>
        <w:t>The Seduction of Place: The City in the Twenty-First Century</w:t>
      </w:r>
      <w:r w:rsidRPr="00C5789F">
        <w:rPr>
          <w:rFonts w:cstheme="minorHAnsi"/>
          <w:lang w:val="en-US"/>
        </w:rPr>
        <w:t xml:space="preserve">, Pantheon Books, New York 2000; </w:t>
      </w:r>
      <w:r w:rsidRPr="00C5789F">
        <w:rPr>
          <w:rFonts w:cstheme="minorHAnsi"/>
          <w:iCs/>
        </w:rPr>
        <w:t>Sacchi</w:t>
      </w:r>
      <w:r>
        <w:rPr>
          <w:rFonts w:cstheme="minorHAnsi"/>
          <w:iCs/>
        </w:rPr>
        <w:t xml:space="preserve"> L.</w:t>
      </w:r>
      <w:r w:rsidRPr="00C5789F">
        <w:rPr>
          <w:rFonts w:cstheme="minorHAnsi"/>
          <w:iCs/>
        </w:rPr>
        <w:t xml:space="preserve">, </w:t>
      </w:r>
      <w:r w:rsidRPr="00C5789F">
        <w:rPr>
          <w:rFonts w:cstheme="minorHAnsi"/>
          <w:i/>
          <w:iCs/>
        </w:rPr>
        <w:t>L’espansione delle città</w:t>
      </w:r>
      <w:r w:rsidRPr="00C5789F">
        <w:rPr>
          <w:rFonts w:cstheme="minorHAnsi"/>
        </w:rPr>
        <w:t xml:space="preserve">, in </w:t>
      </w:r>
      <w:r w:rsidRPr="00C5789F">
        <w:rPr>
          <w:rFonts w:cstheme="minorHAnsi"/>
          <w:i/>
          <w:iCs/>
        </w:rPr>
        <w:t>XXI secolo</w:t>
      </w:r>
      <w:r w:rsidRPr="00C5789F">
        <w:rPr>
          <w:rFonts w:cstheme="minorHAnsi"/>
        </w:rPr>
        <w:t xml:space="preserve">, Istituto della Enciclopedia Italiana fondato da G. Treccani, Roma 2010, IV volume, </w:t>
      </w:r>
      <w:r w:rsidRPr="00C5789F">
        <w:rPr>
          <w:rFonts w:cstheme="minorHAnsi"/>
          <w:i/>
          <w:iCs/>
        </w:rPr>
        <w:t>Gli spazi e le arti</w:t>
      </w:r>
      <w:r w:rsidRPr="00C5789F">
        <w:rPr>
          <w:rFonts w:cstheme="minorHAnsi"/>
          <w:iCs/>
        </w:rPr>
        <w:t>;</w:t>
      </w:r>
      <w:r w:rsidRPr="00C5789F">
        <w:rPr>
          <w:rFonts w:cstheme="minorHAnsi"/>
        </w:rPr>
        <w:t xml:space="preserve"> </w:t>
      </w:r>
      <w:r w:rsidRPr="00C5789F">
        <w:rPr>
          <w:rFonts w:cstheme="minorHAnsi"/>
          <w:iCs/>
        </w:rPr>
        <w:t>Sacchi</w:t>
      </w:r>
      <w:r>
        <w:rPr>
          <w:rFonts w:cstheme="minorHAnsi"/>
          <w:iCs/>
        </w:rPr>
        <w:t xml:space="preserve"> L.</w:t>
      </w:r>
      <w:r w:rsidRPr="00C5789F">
        <w:rPr>
          <w:rFonts w:cstheme="minorHAnsi"/>
          <w:iCs/>
        </w:rPr>
        <w:t xml:space="preserve">, </w:t>
      </w:r>
      <w:r w:rsidRPr="00C5789F">
        <w:rPr>
          <w:rFonts w:cstheme="minorHAnsi"/>
          <w:i/>
          <w:iCs/>
        </w:rPr>
        <w:t>I sistemi urbani nordamericani</w:t>
      </w:r>
      <w:r w:rsidRPr="00C5789F">
        <w:rPr>
          <w:rFonts w:cstheme="minorHAnsi"/>
        </w:rPr>
        <w:t xml:space="preserve">, in </w:t>
      </w:r>
      <w:r w:rsidRPr="00C5789F">
        <w:rPr>
          <w:rFonts w:cstheme="minorHAnsi"/>
          <w:i/>
          <w:iCs/>
        </w:rPr>
        <w:t>XXI secolo</w:t>
      </w:r>
      <w:r w:rsidRPr="00C5789F">
        <w:rPr>
          <w:rFonts w:cstheme="minorHAnsi"/>
        </w:rPr>
        <w:t xml:space="preserve">, Istituto della Enciclopedia Italiana fondato da G. Treccani, Roma 2010, IV volume, </w:t>
      </w:r>
      <w:r w:rsidRPr="00C5789F">
        <w:rPr>
          <w:rFonts w:cstheme="minorHAnsi"/>
          <w:i/>
          <w:iCs/>
        </w:rPr>
        <w:t>Gli spazi e le arti</w:t>
      </w:r>
      <w:r w:rsidRPr="00C5789F">
        <w:rPr>
          <w:rFonts w:cstheme="minorHAnsi"/>
        </w:rPr>
        <w:t xml:space="preserve">; </w:t>
      </w:r>
      <w:r w:rsidR="005923D3">
        <w:rPr>
          <w:rFonts w:cstheme="minorHAnsi"/>
        </w:rPr>
        <w:t xml:space="preserve">Sacchi L., </w:t>
      </w:r>
      <w:r w:rsidR="005923D3" w:rsidRPr="005923D3">
        <w:rPr>
          <w:rFonts w:cstheme="minorHAnsi"/>
          <w:i/>
        </w:rPr>
        <w:t>Metropoli, Il disegno delle città</w:t>
      </w:r>
      <w:r w:rsidR="005923D3">
        <w:rPr>
          <w:rFonts w:cstheme="minorHAnsi"/>
        </w:rPr>
        <w:t xml:space="preserve">, </w:t>
      </w:r>
      <w:proofErr w:type="spellStart"/>
      <w:r w:rsidR="005923D3">
        <w:rPr>
          <w:rFonts w:cstheme="minorHAnsi"/>
        </w:rPr>
        <w:t>Gangemi</w:t>
      </w:r>
      <w:proofErr w:type="spellEnd"/>
      <w:r w:rsidR="005923D3">
        <w:rPr>
          <w:rFonts w:cstheme="minorHAnsi"/>
        </w:rPr>
        <w:t xml:space="preserve">, Roma 2017; </w:t>
      </w:r>
      <w:proofErr w:type="spellStart"/>
      <w:r w:rsidRPr="00C5789F">
        <w:rPr>
          <w:rFonts w:cstheme="minorHAnsi"/>
        </w:rPr>
        <w:t>Sassen</w:t>
      </w:r>
      <w:proofErr w:type="spellEnd"/>
      <w:r>
        <w:rPr>
          <w:rFonts w:cstheme="minorHAnsi"/>
        </w:rPr>
        <w:t xml:space="preserve"> S.</w:t>
      </w:r>
      <w:r w:rsidRPr="00C5789F">
        <w:rPr>
          <w:rFonts w:cstheme="minorHAnsi"/>
        </w:rPr>
        <w:t xml:space="preserve">, </w:t>
      </w:r>
      <w:proofErr w:type="spellStart"/>
      <w:r w:rsidRPr="00C5789F">
        <w:rPr>
          <w:rFonts w:cstheme="minorHAnsi"/>
          <w:i/>
        </w:rPr>
        <w:t>Cities</w:t>
      </w:r>
      <w:proofErr w:type="spellEnd"/>
      <w:r w:rsidRPr="00C5789F">
        <w:rPr>
          <w:rFonts w:cstheme="minorHAnsi"/>
          <w:i/>
        </w:rPr>
        <w:t xml:space="preserve"> in a world economy</w:t>
      </w:r>
      <w:r w:rsidRPr="00C5789F">
        <w:rPr>
          <w:rFonts w:cstheme="minorHAnsi"/>
        </w:rPr>
        <w:t>, Pine Forge Pr</w:t>
      </w:r>
      <w:r w:rsidR="006D7FC2">
        <w:rPr>
          <w:rFonts w:cstheme="minorHAnsi"/>
        </w:rPr>
        <w:t xml:space="preserve">ess, </w:t>
      </w:r>
      <w:proofErr w:type="spellStart"/>
      <w:r w:rsidR="006D7FC2">
        <w:rPr>
          <w:rFonts w:cstheme="minorHAnsi"/>
        </w:rPr>
        <w:t>Thousand</w:t>
      </w:r>
      <w:proofErr w:type="spellEnd"/>
      <w:r w:rsidR="006D7FC2">
        <w:rPr>
          <w:rFonts w:cstheme="minorHAnsi"/>
        </w:rPr>
        <w:t xml:space="preserve"> </w:t>
      </w:r>
      <w:proofErr w:type="spellStart"/>
      <w:r w:rsidR="006D7FC2">
        <w:rPr>
          <w:rFonts w:cstheme="minorHAnsi"/>
        </w:rPr>
        <w:t>Oaks</w:t>
      </w:r>
      <w:proofErr w:type="spellEnd"/>
      <w:r w:rsidR="006D7FC2">
        <w:rPr>
          <w:rFonts w:cstheme="minorHAnsi"/>
        </w:rPr>
        <w:t xml:space="preserve">, </w:t>
      </w:r>
      <w:proofErr w:type="spellStart"/>
      <w:r w:rsidR="006D7FC2">
        <w:rPr>
          <w:rFonts w:cstheme="minorHAnsi"/>
        </w:rPr>
        <w:t>Calif</w:t>
      </w:r>
      <w:proofErr w:type="spellEnd"/>
      <w:r w:rsidR="006D7FC2">
        <w:rPr>
          <w:rFonts w:cstheme="minorHAnsi"/>
        </w:rPr>
        <w:t>. 2006.</w:t>
      </w:r>
    </w:p>
    <w:p w:rsidR="00473073" w:rsidRPr="00473073" w:rsidRDefault="00473073" w:rsidP="00473073">
      <w:pPr>
        <w:pStyle w:val="Paragrafoelenco"/>
        <w:numPr>
          <w:ilvl w:val="0"/>
          <w:numId w:val="1"/>
        </w:numPr>
      </w:pPr>
      <w:r>
        <w:rPr>
          <w:b/>
        </w:rPr>
        <w:t xml:space="preserve">Immagini (max. 10) </w:t>
      </w:r>
    </w:p>
    <w:p w:rsidR="00473073" w:rsidRDefault="00473073" w:rsidP="00473073">
      <w:pPr>
        <w:ind w:left="360"/>
      </w:pPr>
    </w:p>
    <w:p w:rsidR="00473073" w:rsidRDefault="00473073" w:rsidP="00473073">
      <w:pPr>
        <w:ind w:left="360"/>
      </w:pPr>
    </w:p>
    <w:sectPr w:rsidR="00473073" w:rsidSect="007E04D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rint-G1SmallCaps">
    <w:panose1 w:val="00000000000000000000"/>
    <w:charset w:val="00"/>
    <w:family w:val="decorative"/>
    <w:notTrueType/>
    <w:pitch w:val="variable"/>
    <w:sig w:usb0="00000003" w:usb1="00000000" w:usb2="00000000" w:usb3="00000000" w:csb0="00000001" w:csb1="00000000"/>
  </w:font>
  <w:font w:name="Imprint-G1Italic">
    <w:panose1 w:val="00000000000000000000"/>
    <w:charset w:val="00"/>
    <w:family w:val="decorative"/>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ImprintUni-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D6739"/>
    <w:multiLevelType w:val="hybridMultilevel"/>
    <w:tmpl w:val="661A4A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A920E70"/>
    <w:multiLevelType w:val="hybridMultilevel"/>
    <w:tmpl w:val="0D98D5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1E93"/>
    <w:rsid w:val="000C4550"/>
    <w:rsid w:val="002179CD"/>
    <w:rsid w:val="00473073"/>
    <w:rsid w:val="004829E7"/>
    <w:rsid w:val="004C7D54"/>
    <w:rsid w:val="005923D3"/>
    <w:rsid w:val="00690173"/>
    <w:rsid w:val="006D7FC2"/>
    <w:rsid w:val="00750D58"/>
    <w:rsid w:val="00751E93"/>
    <w:rsid w:val="007645BF"/>
    <w:rsid w:val="007E04DF"/>
    <w:rsid w:val="00850ED9"/>
    <w:rsid w:val="00851CAC"/>
    <w:rsid w:val="008D6A81"/>
    <w:rsid w:val="00B3162B"/>
    <w:rsid w:val="00BD4CC0"/>
    <w:rsid w:val="00BF092E"/>
    <w:rsid w:val="00C47673"/>
    <w:rsid w:val="00C5789F"/>
    <w:rsid w:val="00C80B06"/>
    <w:rsid w:val="00D40EC4"/>
    <w:rsid w:val="00E91BA2"/>
    <w:rsid w:val="00F156B6"/>
    <w:rsid w:val="00F91D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04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3073"/>
    <w:pPr>
      <w:ind w:left="720"/>
      <w:contextualSpacing/>
    </w:pPr>
  </w:style>
  <w:style w:type="character" w:styleId="Collegamentoipertestuale">
    <w:name w:val="Hyperlink"/>
    <w:basedOn w:val="Carpredefinitoparagrafo"/>
    <w:uiPriority w:val="99"/>
    <w:unhideWhenUsed/>
    <w:rsid w:val="00473073"/>
    <w:rPr>
      <w:color w:val="0563C1" w:themeColor="hyperlink"/>
      <w:u w:val="single"/>
    </w:rPr>
  </w:style>
  <w:style w:type="character" w:customStyle="1" w:styleId="Numerismallcaps">
    <w:name w:val="Numeri (small caps)"/>
    <w:rsid w:val="00C5789F"/>
    <w:rPr>
      <w:rFonts w:ascii="Imprint-G1SmallCaps" w:hAnsi="Imprint-G1SmallCaps" w:hint="default"/>
      <w:strike w:val="0"/>
      <w:dstrike w:val="0"/>
      <w:color w:val="auto"/>
      <w:sz w:val="18"/>
      <w:u w:val="none"/>
      <w:effect w:val="none"/>
    </w:rPr>
  </w:style>
  <w:style w:type="character" w:customStyle="1" w:styleId="TestoCorsivoBiblio">
    <w:name w:val="Testo Corsivo Biblio"/>
    <w:basedOn w:val="Carpredefinitoparagrafo"/>
    <w:rsid w:val="00C5789F"/>
    <w:rPr>
      <w:rFonts w:ascii="Imprint-G1Italic" w:hAnsi="Imprint-G1Italic" w:hint="default"/>
      <w:sz w:val="16"/>
      <w:szCs w:val="16"/>
    </w:rPr>
  </w:style>
  <w:style w:type="character" w:customStyle="1" w:styleId="TestoMaiuscolettoBiblio">
    <w:name w:val="Testo Maiuscoletto Biblio"/>
    <w:basedOn w:val="Carpredefinitoparagrafo"/>
    <w:rsid w:val="00C5789F"/>
    <w:rPr>
      <w:rFonts w:ascii="Imprint-G1SmallCaps" w:hAnsi="Imprint-G1SmallCaps" w:hint="default"/>
      <w:sz w:val="16"/>
      <w:szCs w:val="16"/>
    </w:rPr>
  </w:style>
  <w:style w:type="paragraph" w:customStyle="1" w:styleId="Default">
    <w:name w:val="Default"/>
    <w:rsid w:val="00C5789F"/>
    <w:pPr>
      <w:autoSpaceDE w:val="0"/>
      <w:autoSpaceDN w:val="0"/>
      <w:adjustRightInd w:val="0"/>
      <w:spacing w:after="0" w:line="240" w:lineRule="auto"/>
    </w:pPr>
    <w:rPr>
      <w:rFonts w:ascii="Arial Narrow" w:hAnsi="Arial Narrow" w:cs="Arial Narrow"/>
      <w:color w:val="000000"/>
      <w:sz w:val="24"/>
      <w:szCs w:val="24"/>
    </w:rPr>
  </w:style>
  <w:style w:type="character" w:customStyle="1" w:styleId="ixmtestosenzarientro">
    <w:name w:val="ixm_testosenzarientro"/>
    <w:basedOn w:val="Carpredefinitoparagrafo"/>
    <w:rsid w:val="00E91BA2"/>
  </w:style>
  <w:style w:type="character" w:styleId="Enfasicorsivo">
    <w:name w:val="Emphasis"/>
    <w:basedOn w:val="Carpredefinitoparagrafo"/>
    <w:qFormat/>
    <w:rsid w:val="00E91BA2"/>
    <w:rPr>
      <w:i/>
      <w:iCs/>
    </w:rPr>
  </w:style>
</w:styles>
</file>

<file path=word/webSettings.xml><?xml version="1.0" encoding="utf-8"?>
<w:webSettings xmlns:r="http://schemas.openxmlformats.org/officeDocument/2006/relationships" xmlns:w="http://schemas.openxmlformats.org/wordprocessingml/2006/main">
  <w:divs>
    <w:div w:id="66852231">
      <w:bodyDiv w:val="1"/>
      <w:marLeft w:val="0"/>
      <w:marRight w:val="0"/>
      <w:marTop w:val="0"/>
      <w:marBottom w:val="0"/>
      <w:divBdr>
        <w:top w:val="none" w:sz="0" w:space="0" w:color="auto"/>
        <w:left w:val="none" w:sz="0" w:space="0" w:color="auto"/>
        <w:bottom w:val="none" w:sz="0" w:space="0" w:color="auto"/>
        <w:right w:val="none" w:sz="0" w:space="0" w:color="auto"/>
      </w:divBdr>
    </w:div>
    <w:div w:id="531378328">
      <w:bodyDiv w:val="1"/>
      <w:marLeft w:val="0"/>
      <w:marRight w:val="0"/>
      <w:marTop w:val="0"/>
      <w:marBottom w:val="0"/>
      <w:divBdr>
        <w:top w:val="none" w:sz="0" w:space="0" w:color="auto"/>
        <w:left w:val="none" w:sz="0" w:space="0" w:color="auto"/>
        <w:bottom w:val="none" w:sz="0" w:space="0" w:color="auto"/>
        <w:right w:val="none" w:sz="0" w:space="0" w:color="auto"/>
      </w:divBdr>
    </w:div>
    <w:div w:id="13680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4078</Words>
  <Characters>23247</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Livio Sacchi</dc:creator>
  <cp:lastModifiedBy>UTENTE</cp:lastModifiedBy>
  <cp:revision>2</cp:revision>
  <dcterms:created xsi:type="dcterms:W3CDTF">2017-05-08T13:23:00Z</dcterms:created>
  <dcterms:modified xsi:type="dcterms:W3CDTF">2017-05-08T13:23:00Z</dcterms:modified>
</cp:coreProperties>
</file>